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4"/>
        <w:ind w:firstLine="0"/>
        <w:jc w:val="both"/>
        <w:rPr>
          <w:rFonts w:hint="eastAsia" w:ascii="宋体" w:hAnsi="宋体" w:eastAsia="宋体" w:cs="宋体"/>
          <w:b/>
          <w:bCs/>
          <w:color w:val="auto"/>
          <w:spacing w:val="80"/>
          <w:sz w:val="72"/>
          <w:szCs w:val="72"/>
          <w:highlight w:val="none"/>
        </w:rPr>
      </w:pPr>
      <w:r>
        <w:rPr>
          <w:rFonts w:hint="eastAsia" w:ascii="宋体" w:hAnsi="宋体" w:eastAsia="宋体" w:cs="宋体"/>
          <w:b/>
          <w:bCs/>
          <w:color w:val="auto"/>
          <w:spacing w:val="80"/>
          <w:sz w:val="72"/>
          <w:szCs w:val="72"/>
          <w:highlight w:val="none"/>
        </w:rPr>
        <w:t xml:space="preserve"> </w:t>
      </w:r>
      <w:r>
        <w:rPr>
          <w:color w:val="auto"/>
          <w:highlight w:val="none"/>
        </w:rPr>
      </w:r>
    </w:p>
    <w:p>
      <w:pPr>
        <w:pStyle w:val="984"/>
        <w:ind w:firstLine="0"/>
        <w:jc w:val="center"/>
        <w:rPr>
          <w:rFonts w:hint="eastAsia" w:ascii="宋体" w:hAnsi="宋体"/>
          <w:b/>
          <w:color w:val="auto"/>
          <w:sz w:val="52"/>
          <w:szCs w:val="52"/>
          <w:highlight w:val="none"/>
        </w:rPr>
      </w:pPr>
      <w:r>
        <w:rPr>
          <w:rFonts w:hint="eastAsia" w:ascii="宋体" w:hAnsi="宋体"/>
          <w:b/>
          <w:bCs/>
          <w:color w:val="auto"/>
          <w:spacing w:val="80"/>
          <w:sz w:val="72"/>
          <w:szCs w:val="72"/>
          <w:highlight w:val="none"/>
        </w:rPr>
        <w:t xml:space="preserve">连云港市政府采购</w:t>
      </w:r>
      <w:r>
        <w:rPr>
          <w:color w:val="auto"/>
          <w:highlight w:val="none"/>
        </w:rPr>
      </w:r>
    </w:p>
    <w:p>
      <w:pPr>
        <w:pStyle w:val="984"/>
        <w:ind w:firstLine="0"/>
        <w:jc w:val="center"/>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竞争性磋商文件</w:t>
      </w:r>
      <w:r>
        <w:rPr>
          <w:color w:val="auto"/>
          <w:highlight w:val="none"/>
        </w:rPr>
      </w:r>
    </w:p>
    <w:p>
      <w:pPr>
        <w:pStyle w:val="984"/>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highlight w:val="none"/>
        </w:rPr>
      </w:r>
    </w:p>
    <w:tbl>
      <w:tblPr>
        <w:tblStyle w:val="719"/>
        <w:tblW w:w="0" w:type="auto"/>
        <w:jc w:val="center"/>
        <w:tblLayout w:type="fixed"/>
        <w:tblCellMar>
          <w:left w:w="108" w:type="dxa"/>
          <w:top w:w="0" w:type="dxa"/>
          <w:right w:w="108" w:type="dxa"/>
          <w:bottom w:w="0" w:type="dxa"/>
        </w:tblCellMar>
        <w:tblLook w:val="04A0" w:firstRow="1" w:lastRow="0" w:firstColumn="1" w:lastColumn="0" w:noHBand="0" w:noVBand="1"/>
      </w:tblPr>
      <w:tblGrid>
        <w:gridCol w:w="2457"/>
        <w:gridCol w:w="6441"/>
      </w:tblGrid>
      <w:tr>
        <w:trPr>
          <w:jc w:val="center"/>
          <w:trHeight w:val="855"/>
        </w:trPr>
        <w:tc>
          <w:tcPr>
            <w:tcBorders>
              <w:top w:val="none" w:color="000000" w:sz="4" w:space="0"/>
              <w:left w:val="none" w:color="000000" w:sz="4" w:space="0"/>
              <w:bottom w:val="none" w:color="000000" w:sz="4" w:space="0"/>
              <w:right w:val="none" w:color="000000" w:sz="4" w:space="0"/>
            </w:tcBorders>
            <w:tcW w:w="2457" w:type="dxa"/>
            <w:vAlign w:val="center"/>
            <w:textDirection w:val="lrTb"/>
            <w:noWrap w:val="false"/>
          </w:tcPr>
          <w:p>
            <w:pPr>
              <w:jc w:val="both"/>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lang w:eastAsia="zh-CN"/>
              </w:rPr>
              <w:t xml:space="preserve">项目名称</w:t>
            </w:r>
            <w:r>
              <w:rPr>
                <w:rFonts w:hint="eastAsia" w:ascii="宋体" w:hAnsi="宋体" w:eastAsia="宋体" w:cs="宋体"/>
                <w:b/>
                <w:bCs/>
                <w:color w:val="auto"/>
                <w:spacing w:val="16"/>
                <w:sz w:val="32"/>
                <w:szCs w:val="32"/>
                <w:highlight w:val="none"/>
              </w:rPr>
              <w:t xml:space="preserve">：</w:t>
            </w:r>
            <w:r>
              <w:rPr>
                <w:color w:val="auto"/>
                <w:highlight w:val="none"/>
              </w:rPr>
            </w:r>
          </w:p>
        </w:tc>
        <w:tc>
          <w:tcPr>
            <w:tcBorders>
              <w:top w:val="none" w:color="000000" w:sz="4" w:space="0"/>
              <w:left w:val="none" w:color="000000" w:sz="4" w:space="0"/>
              <w:bottom w:val="none" w:color="000000" w:sz="4" w:space="0"/>
              <w:right w:val="none" w:color="000000" w:sz="4" w:space="0"/>
            </w:tcBorders>
            <w:tcW w:w="6441" w:type="dxa"/>
            <w:vAlign w:val="center"/>
            <w:textDirection w:val="lrTb"/>
            <w:noWrap w:val="false"/>
          </w:tcPr>
          <w:p>
            <w:pPr>
              <w:jc w:val="left"/>
              <w:spacing w:line="360" w:lineRule="auto"/>
              <w:rPr>
                <w:rFonts w:hint="eastAsia" w:ascii="宋体" w:hAnsi="宋体" w:eastAsia="宋体" w:cs="宋体"/>
                <w:b/>
                <w:bCs/>
                <w:color w:val="auto"/>
                <w:spacing w:val="16"/>
                <w:sz w:val="32"/>
                <w:szCs w:val="32"/>
                <w:highlight w:val="none"/>
              </w:rPr>
            </w:pPr>
            <w:r>
              <w:rPr>
                <w:rFonts w:hint="eastAsia" w:ascii="宋体" w:hAnsi="宋体" w:cs="宋体"/>
                <w:b/>
                <w:bCs/>
                <w:color w:val="auto"/>
                <w:sz w:val="32"/>
                <w:highlight w:val="none"/>
                <w:lang w:val="en-US" w:eastAsia="zh-CN"/>
              </w:rPr>
              <w:t xml:space="preserve">东院区用电增容项目改造施工（专门面向中小企业）</w:t>
            </w:r>
            <w:r>
              <w:rPr>
                <w:color w:val="auto"/>
                <w:highlight w:val="none"/>
              </w:rPr>
            </w:r>
          </w:p>
        </w:tc>
      </w:tr>
      <w:tr>
        <w:trPr>
          <w:jc w:val="center"/>
          <w:trHeight w:val="855"/>
        </w:trPr>
        <w:tc>
          <w:tcPr>
            <w:tcBorders>
              <w:top w:val="none" w:color="000000" w:sz="4" w:space="0"/>
              <w:left w:val="none" w:color="000000" w:sz="4" w:space="0"/>
              <w:bottom w:val="none" w:color="000000" w:sz="4" w:space="0"/>
              <w:right w:val="none" w:color="000000" w:sz="4" w:space="0"/>
            </w:tcBorders>
            <w:tcW w:w="2457" w:type="dxa"/>
            <w:vAlign w:val="center"/>
            <w:textDirection w:val="lrTb"/>
            <w:noWrap w:val="false"/>
          </w:tcPr>
          <w:p>
            <w:pPr>
              <w:jc w:val="both"/>
              <w:spacing w:line="36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lang w:eastAsia="zh-CN"/>
              </w:rPr>
              <w:t xml:space="preserve">项目编号</w:t>
            </w:r>
            <w:r>
              <w:rPr>
                <w:rFonts w:hint="eastAsia" w:ascii="宋体" w:hAnsi="宋体" w:eastAsia="宋体" w:cs="宋体"/>
                <w:b/>
                <w:bCs/>
                <w:color w:val="auto"/>
                <w:spacing w:val="16"/>
                <w:sz w:val="32"/>
                <w:szCs w:val="32"/>
                <w:highlight w:val="none"/>
              </w:rPr>
              <w:t xml:space="preserve">：</w:t>
            </w:r>
            <w:r>
              <w:rPr>
                <w:color w:val="auto"/>
                <w:highlight w:val="none"/>
              </w:rPr>
            </w:r>
          </w:p>
        </w:tc>
        <w:tc>
          <w:tcPr>
            <w:tcBorders>
              <w:top w:val="none" w:color="000000" w:sz="4" w:space="0"/>
              <w:left w:val="none" w:color="000000" w:sz="4" w:space="0"/>
              <w:bottom w:val="none" w:color="000000" w:sz="4" w:space="0"/>
              <w:right w:val="none" w:color="000000" w:sz="4" w:space="0"/>
            </w:tcBorders>
            <w:tcW w:w="6441" w:type="dxa"/>
            <w:vAlign w:val="center"/>
            <w:textDirection w:val="lrTb"/>
            <w:noWrap w:val="false"/>
          </w:tcPr>
          <w:p>
            <w:pPr>
              <w:spacing w:line="360" w:lineRule="auto"/>
              <w:rPr>
                <w:rFonts w:hint="default" w:ascii="宋体" w:hAnsi="宋体" w:eastAsia="宋体" w:cs="宋体"/>
                <w:b/>
                <w:bCs/>
                <w:color w:val="auto"/>
                <w:spacing w:val="16"/>
                <w:sz w:val="32"/>
                <w:szCs w:val="32"/>
                <w:highlight w:val="none"/>
              </w:rPr>
            </w:pPr>
            <w:r>
              <w:rPr>
                <w:rFonts w:hint="eastAsia" w:ascii="宋体" w:hAnsi="宋体" w:cs="宋体"/>
                <w:b/>
                <w:bCs/>
                <w:color w:val="auto"/>
                <w:spacing w:val="16"/>
                <w:sz w:val="32"/>
                <w:szCs w:val="32"/>
                <w:highlight w:val="none"/>
                <w:lang w:val="en-US" w:eastAsia="zh-CN"/>
              </w:rPr>
              <w:t xml:space="preserve">JSZC-320700-DZZC-C2025-0013</w:t>
            </w:r>
            <w:r>
              <w:rPr>
                <w:color w:val="auto"/>
                <w:highlight w:val="none"/>
              </w:rPr>
            </w:r>
          </w:p>
        </w:tc>
      </w:tr>
    </w:tbl>
    <w:p>
      <w:pPr>
        <w:pStyle w:val="984"/>
        <w:ind w:firstLine="0"/>
        <w:jc w:val="left"/>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rPr>
          <w:color w:val="auto"/>
          <w:highlight w:val="none"/>
        </w:rPr>
      </w:r>
    </w:p>
    <w:tbl>
      <w:tblPr>
        <w:tblStyle w:val="719"/>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val="false"/>
          </w:tcPr>
          <w:p>
            <w:pPr>
              <w:jc w:val="center"/>
              <w:spacing w:line="360" w:lineRule="auto"/>
              <w:rPr>
                <w:rFonts w:hint="eastAsia" w:ascii="宋体" w:hAnsi="宋体" w:eastAsia="宋体" w:cs="宋体"/>
                <w:color w:val="auto"/>
                <w:highlight w:val="none"/>
              </w:rPr>
            </w:pPr>
            <w:r>
              <w:rPr>
                <w:color w:val="auto"/>
                <w:highlight w:val="none"/>
              </w:rPr>
            </w:r>
            <w:bookmarkStart w:id="0" w:name="OLE_LINK31"/>
            <w:r>
              <w:rPr>
                <w:color w:val="auto"/>
                <w:highlight w:val="none"/>
              </w:rPr>
            </w:r>
            <w:bookmarkStart w:id="1" w:name="OLE_LINK4"/>
            <w:r>
              <w:rPr>
                <w:rFonts w:hint="eastAsia" w:ascii="宋体" w:hAnsi="宋体" w:eastAsia="宋体" w:cs="宋体"/>
                <w:b/>
                <w:bCs/>
                <w:color w:val="auto"/>
                <w:sz w:val="32"/>
                <w:highlight w:val="none"/>
              </w:rPr>
              <w:t xml:space="preserve">采   购   人：</w:t>
            </w:r>
            <w:bookmarkEnd w:id="0"/>
            <w:bookmarkEnd w:id="1"/>
            <w:r>
              <w:rPr>
                <w:color w:val="auto"/>
                <w:highlight w:val="none"/>
              </w:rPr>
            </w:r>
          </w:p>
        </w:tc>
        <w:tc>
          <w:tcPr>
            <w:tcW w:w="6433" w:type="dxa"/>
            <w:vAlign w:val="center"/>
            <w:textDirection w:val="lrTb"/>
            <w:noWrap w:val="false"/>
          </w:tcPr>
          <w:p>
            <w:pPr>
              <w:pStyle w:val="931"/>
              <w:jc w:val="both"/>
              <w:spacing w:line="360" w:lineRule="auto"/>
              <w:rPr>
                <w:rFonts w:hint="eastAsia" w:ascii="宋体" w:hAnsi="宋体" w:eastAsia="宋体" w:cs="宋体"/>
                <w:b/>
                <w:bCs/>
                <w:color w:val="auto"/>
                <w:sz w:val="32"/>
                <w:szCs w:val="32"/>
                <w:highlight w:val="none"/>
              </w:rPr>
            </w:pPr>
            <w:r>
              <w:rPr>
                <w:rFonts w:hint="eastAsia" w:hAnsi="宋体" w:cs="宋体"/>
                <w:b/>
                <w:bCs/>
                <w:color w:val="auto"/>
                <w:sz w:val="32"/>
                <w:szCs w:val="24"/>
                <w:highlight w:val="none"/>
                <w:lang w:val="en-US" w:eastAsia="zh-CN" w:bidi="ar-SA"/>
              </w:rPr>
              <w:t xml:space="preserve">连云港市第二人民医院</w:t>
            </w:r>
            <w:r>
              <w:rPr>
                <w:color w:val="auto"/>
                <w:highlight w:val="none"/>
              </w:rPr>
            </w:r>
          </w:p>
        </w:tc>
      </w:tr>
      <w:tr>
        <w:trPr>
          <w:trHeight w:val="797"/>
        </w:trPr>
        <w:tc>
          <w:tcPr>
            <w:tcW w:w="2467"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rPr>
                <w:color w:val="auto"/>
                <w:highlight w:val="none"/>
              </w:rPr>
            </w:r>
          </w:p>
        </w:tc>
        <w:tc>
          <w:tcPr>
            <w:tcW w:w="6433" w:type="dxa"/>
            <w:vAlign w:val="center"/>
            <w:textDirection w:val="lrTb"/>
            <w:noWrap w:val="false"/>
          </w:tcPr>
          <w:p>
            <w:pPr>
              <w:pStyle w:val="931"/>
              <w:jc w:val="both"/>
              <w:spacing w:line="360" w:lineRule="auto"/>
              <w:rPr>
                <w:rFonts w:hint="eastAsia" w:ascii="宋体" w:hAnsi="宋体" w:eastAsia="宋体" w:cs="宋体"/>
                <w:b/>
                <w:bCs/>
                <w:color w:val="auto"/>
                <w:sz w:val="28"/>
                <w:szCs w:val="28"/>
                <w:highlight w:val="none"/>
              </w:rPr>
            </w:pPr>
            <w:r>
              <w:rPr>
                <w:rFonts w:hint="eastAsia" w:hAnsi="宋体" w:cs="宋体"/>
                <w:b/>
                <w:bCs/>
                <w:color w:val="auto"/>
                <w:spacing w:val="20"/>
                <w:sz w:val="32"/>
                <w:highlight w:val="none"/>
                <w:lang w:val="en-US" w:eastAsia="zh-CN"/>
              </w:rPr>
              <w:t xml:space="preserve">鼎正众创建设集团有限公司</w:t>
            </w:r>
            <w:r>
              <w:rPr>
                <w:color w:val="auto"/>
                <w:highlight w:val="none"/>
              </w:rP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color w:val="auto"/>
          <w:highlight w:val="none"/>
        </w:rPr>
      </w:r>
    </w:p>
    <w:tbl>
      <w:tblPr>
        <w:tblStyle w:val="719"/>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931"/>
              <w:jc w:val="center"/>
              <w:spacing w:line="360" w:lineRule="auto"/>
              <w:rPr>
                <w:rFonts w:hint="eastAsia" w:ascii="宋体" w:hAnsi="宋体" w:eastAsia="宋体" w:cs="宋体"/>
                <w:b/>
                <w:color w:val="auto"/>
                <w:sz w:val="32"/>
                <w:szCs w:val="32"/>
                <w:highlight w:val="none"/>
              </w:rPr>
            </w:pPr>
            <w:r>
              <w:rPr>
                <w:color w:val="auto"/>
                <w:highlight w:val="none"/>
              </w:rPr>
            </w:r>
            <w:bookmarkStart w:id="2" w:name="OLE_LINK12"/>
            <w:r>
              <w:rPr>
                <w:color w:val="auto"/>
                <w:highlight w:val="none"/>
              </w:rPr>
            </w:r>
            <w:bookmarkStart w:id="3" w:name="OLE_LINK35"/>
            <w:r>
              <w:rPr>
                <w:rFonts w:hint="eastAsia" w:hAnsi="宋体" w:eastAsia="宋体" w:cs="宋体"/>
                <w:b/>
                <w:color w:val="auto"/>
                <w:sz w:val="32"/>
                <w:szCs w:val="32"/>
                <w:highlight w:val="none"/>
                <w:lang w:val="en-US" w:eastAsia="zh-CN"/>
              </w:rPr>
              <w:t xml:space="preserve">202</w:t>
            </w:r>
            <w:r>
              <w:rPr>
                <w:rFonts w:hint="eastAsia" w:hAnsi="宋体" w:cs="宋体"/>
                <w:b/>
                <w:color w:val="auto"/>
                <w:sz w:val="32"/>
                <w:szCs w:val="32"/>
                <w:highlight w:val="none"/>
                <w:lang w:val="en-US" w:eastAsia="zh-CN"/>
              </w:rPr>
              <w:t xml:space="preserve">5</w:t>
            </w:r>
            <w:r>
              <w:rPr>
                <w:rFonts w:hint="eastAsia" w:hAnsi="宋体" w:eastAsia="宋体" w:cs="宋体"/>
                <w:b/>
                <w:color w:val="auto"/>
                <w:sz w:val="32"/>
                <w:szCs w:val="32"/>
                <w:highlight w:val="none"/>
                <w:lang w:val="en-US" w:eastAsia="zh-CN"/>
              </w:rPr>
              <w:t xml:space="preserve">年</w:t>
            </w:r>
            <w:r>
              <w:rPr>
                <w:rFonts w:hint="eastAsia" w:hAnsi="宋体" w:cs="宋体"/>
                <w:b/>
                <w:color w:val="auto"/>
                <w:sz w:val="32"/>
                <w:szCs w:val="32"/>
                <w:highlight w:val="none"/>
                <w:lang w:val="en-US" w:eastAsia="zh-CN"/>
              </w:rPr>
              <w:t xml:space="preserve">11</w:t>
            </w:r>
            <w:r>
              <w:rPr>
                <w:rFonts w:hint="eastAsia" w:hAnsi="宋体" w:eastAsia="宋体" w:cs="宋体"/>
                <w:b/>
                <w:color w:val="auto"/>
                <w:sz w:val="32"/>
                <w:szCs w:val="32"/>
                <w:highlight w:val="none"/>
                <w:lang w:val="en-US" w:eastAsia="zh-CN"/>
              </w:rPr>
              <w:t xml:space="preserve">月</w:t>
            </w:r>
            <w:bookmarkEnd w:id="2"/>
            <w:r>
              <w:rPr>
                <w:color w:val="auto"/>
                <w:highlight w:val="none"/>
              </w:rPr>
            </w:r>
            <w:bookmarkEnd w:id="3"/>
            <w:r>
              <w:rPr>
                <w:color w:val="auto"/>
                <w:highlight w:val="none"/>
              </w:rPr>
            </w:r>
            <w:r>
              <w:rPr>
                <w:color w:val="auto"/>
                <w:highlight w:val="none"/>
              </w:rPr>
            </w:r>
          </w:p>
        </w:tc>
      </w:tr>
    </w:tbl>
    <w:p>
      <w:pPr>
        <w:jc w:val="center"/>
        <w:spacing w:line="480" w:lineRule="auto"/>
        <w:rPr>
          <w:rFonts w:hint="eastAsia" w:ascii="宋体" w:hAnsi="宋体" w:eastAsia="宋体" w:cs="宋体"/>
          <w:b/>
          <w:bCs w:val="0"/>
          <w:color w:val="auto"/>
          <w:sz w:val="44"/>
          <w:szCs w:val="21"/>
          <w:highlight w:val="none"/>
        </w:rPr>
        <w:outlineLvl w:val="9"/>
      </w:pPr>
      <w:r>
        <w:rPr>
          <w:color w:val="auto"/>
          <w:highlight w:val="none"/>
        </w:rPr>
      </w:r>
      <w:bookmarkStart w:id="4" w:name="_Toc465856610"/>
      <w:r>
        <w:rPr>
          <w:color w:val="auto"/>
          <w:highlight w:val="none"/>
        </w:rPr>
      </w:r>
      <w:bookmarkStart w:id="5" w:name="_Toc344"/>
      <w:r>
        <w:rPr>
          <w:color w:val="auto"/>
          <w:highlight w:val="none"/>
        </w:rPr>
      </w:r>
      <w:bookmarkStart w:id="6" w:name="_Toc31244"/>
      <w:r>
        <w:rPr>
          <w:color w:val="auto"/>
          <w:highlight w:val="none"/>
        </w:rPr>
      </w:r>
      <w:bookmarkStart w:id="7" w:name="_Toc32469"/>
      <w:r>
        <w:rPr>
          <w:color w:val="auto"/>
          <w:highlight w:val="none"/>
        </w:rPr>
      </w:r>
      <w:r>
        <w:rPr>
          <w:color w:val="auto"/>
          <w:highlight w:val="none"/>
        </w:rPr>
      </w:r>
    </w:p>
    <w:p>
      <w:pPr>
        <w:pStyle w:val="761"/>
        <w:rPr>
          <w:rFonts w:hint="eastAsia" w:ascii="宋体" w:hAnsi="宋体" w:eastAsia="宋体" w:cs="宋体"/>
          <w:b/>
          <w:bCs w:val="0"/>
          <w:color w:val="auto"/>
          <w:sz w:val="44"/>
          <w:szCs w:val="21"/>
          <w:highlight w:val="none"/>
        </w:rPr>
      </w:pPr>
      <w:r>
        <w:rPr>
          <w:rFonts w:hint="eastAsia" w:ascii="宋体" w:hAnsi="宋体" w:eastAsia="宋体" w:cs="宋体"/>
          <w:b/>
          <w:bCs w:val="0"/>
          <w:color w:val="auto"/>
          <w:sz w:val="44"/>
          <w:szCs w:val="21"/>
          <w:highlight w:val="none"/>
        </w:rPr>
      </w:r>
      <w:r>
        <w:rPr>
          <w:color w:val="auto"/>
          <w:highlight w:val="none"/>
        </w:rPr>
      </w:r>
    </w:p>
    <w:p>
      <w:pPr>
        <w:pStyle w:val="761"/>
        <w:rPr>
          <w:rFonts w:hint="eastAsia" w:ascii="宋体" w:hAnsi="宋体" w:eastAsia="宋体" w:cs="宋体"/>
          <w:b/>
          <w:bCs w:val="0"/>
          <w:color w:val="auto"/>
          <w:sz w:val="44"/>
          <w:szCs w:val="21"/>
          <w:highlight w:val="none"/>
        </w:rPr>
      </w:pPr>
      <w:r>
        <w:rPr>
          <w:rFonts w:hint="eastAsia" w:ascii="宋体" w:hAnsi="宋体" w:eastAsia="宋体" w:cs="宋体"/>
          <w:b/>
          <w:bCs w:val="0"/>
          <w:color w:val="auto"/>
          <w:sz w:val="44"/>
          <w:szCs w:val="21"/>
          <w:highlight w:val="none"/>
        </w:rPr>
      </w:r>
      <w:r>
        <w:rPr>
          <w:color w:val="auto"/>
          <w:highlight w:val="none"/>
        </w:rPr>
      </w:r>
    </w:p>
    <w:p>
      <w:pPr>
        <w:pStyle w:val="723"/>
        <w:rPr>
          <w:rFonts w:hint="eastAsia"/>
          <w:color w:val="auto"/>
          <w:highlight w:val="none"/>
        </w:rPr>
      </w:pPr>
      <w:r>
        <w:rPr>
          <w:rFonts w:hint="eastAsia"/>
          <w:color w:val="auto"/>
          <w:highlight w:val="none"/>
        </w:rPr>
      </w:r>
      <w:bookmarkEnd w:id="4"/>
      <w:r>
        <w:rPr>
          <w:color w:val="auto"/>
        </w:rPr>
      </w:r>
      <w:bookmarkEnd w:id="5"/>
      <w:r>
        <w:rPr>
          <w:color w:val="auto"/>
        </w:rPr>
      </w:r>
      <w:bookmarkEnd w:id="6"/>
      <w:r>
        <w:rPr>
          <w:color w:val="auto"/>
        </w:rPr>
      </w:r>
      <w:bookmarkEnd w:id="7"/>
      <w:r>
        <w:rPr>
          <w:color w:val="auto"/>
        </w:rPr>
      </w:r>
      <w:r>
        <w:rPr>
          <w:color w:val="auto"/>
          <w:highlight w:val="none"/>
        </w:rPr>
      </w:r>
    </w:p>
    <w:sdt>
      <w:sdtPr>
        <w15:appearance w15:val="boundingBox"/>
        <w15:color w:val="dbdbdb"/>
        <w:id w:val="147482549"/>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rFonts w:ascii="宋体" w:hAnsi="宋体" w:eastAsia="宋体"/>
              <w:color w:val="auto"/>
              <w:sz w:val="21"/>
              <w:highlight w:val="none"/>
            </w:rPr>
            <w:t xml:space="preserve">目录</w:t>
          </w:r>
          <w:r>
            <w:rPr>
              <w:color w:val="auto"/>
              <w:highlight w:val="none"/>
            </w:rPr>
          </w:r>
        </w:p>
        <w:p>
          <w:pPr>
            <w:pStyle w:val="734"/>
            <w:tabs>
              <w:tab w:val="right" w:pos="9451" w:leader="dot"/>
            </w:tabs>
            <w:rPr>
              <w:rFonts w:hint="eastAsia" w:ascii="宋体" w:hAnsi="宋体" w:eastAsia="宋体" w:cs="宋体"/>
              <w:color w:val="auto"/>
              <w:sz w:val="24"/>
              <w:szCs w:val="32"/>
              <w:highlight w:val="none"/>
            </w:rPr>
          </w:pPr>
          <w:r>
            <w:rPr>
              <w:rFonts w:hint="eastAsia" w:ascii="宋体" w:hAnsi="宋体" w:eastAsia="宋体" w:cs="宋体"/>
              <w:color w:val="auto"/>
              <w:sz w:val="36"/>
              <w:szCs w:val="36"/>
              <w:highlight w:val="none"/>
              <w:lang w:eastAsia="zh-CN"/>
            </w:rPr>
            <w:fldChar w:fldCharType="begin"/>
          </w:r>
          <w:r>
            <w:rPr>
              <w:rFonts w:hint="eastAsia" w:ascii="宋体" w:hAnsi="宋体" w:eastAsia="宋体" w:cs="宋体"/>
              <w:color w:val="auto"/>
              <w:sz w:val="36"/>
              <w:szCs w:val="36"/>
              <w:highlight w:val="none"/>
              <w:lang w:eastAsia="zh-CN"/>
            </w:rPr>
            <w:instrText xml:space="preserve">TOC \o "1-1" \h \u </w:instrText>
          </w:r>
          <w:r>
            <w:rPr>
              <w:rFonts w:hint="eastAsia" w:ascii="宋体" w:hAnsi="宋体" w:eastAsia="宋体" w:cs="宋体"/>
              <w:color w:val="auto"/>
              <w:sz w:val="36"/>
              <w:szCs w:val="36"/>
              <w:highlight w:val="none"/>
              <w:lang w:eastAsia="zh-CN"/>
            </w:rPr>
            <w:fldChar w:fldCharType="separate"/>
          </w:r>
          <w:r>
            <w:rPr>
              <w:color w:val="auto"/>
              <w:highlight w:val="none"/>
            </w:rPr>
          </w:r>
        </w:p>
        <w:p>
          <w:pPr>
            <w:pStyle w:val="734"/>
            <w:tabs>
              <w:tab w:val="right" w:pos="9451"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6"/>
              <w:highlight w:val="none"/>
              <w:lang w:eastAsia="zh-CN"/>
            </w:rPr>
            <w:fldChar w:fldCharType="begin"/>
          </w:r>
          <w:r>
            <w:rPr>
              <w:rFonts w:hint="eastAsia" w:ascii="宋体" w:hAnsi="宋体" w:eastAsia="宋体" w:cs="宋体"/>
              <w:color w:val="auto"/>
              <w:sz w:val="24"/>
              <w:szCs w:val="36"/>
              <w:highlight w:val="none"/>
              <w:lang w:eastAsia="zh-CN"/>
            </w:rPr>
            <w:instrText xml:space="preserve"> HYPERLINK \l _Toc19126 </w:instrText>
          </w:r>
          <w:r>
            <w:rPr>
              <w:rFonts w:hint="eastAsia" w:ascii="宋体" w:hAnsi="宋体" w:eastAsia="宋体" w:cs="宋体"/>
              <w:color w:val="auto"/>
              <w:sz w:val="24"/>
              <w:szCs w:val="36"/>
              <w:highlight w:val="none"/>
              <w:lang w:eastAsia="zh-CN"/>
            </w:rPr>
            <w:fldChar w:fldCharType="separate"/>
          </w:r>
          <w:r>
            <w:rPr>
              <w:rFonts w:hint="eastAsia" w:ascii="宋体" w:hAnsi="宋体" w:eastAsia="宋体" w:cs="宋体"/>
              <w:bCs/>
              <w:color w:val="auto"/>
              <w:sz w:val="24"/>
              <w:szCs w:val="32"/>
              <w:highlight w:val="none"/>
              <w:lang w:val="en-US" w:eastAsia="zh-CN"/>
            </w:rPr>
            <w:t xml:space="preserve">第一章 </w:t>
          </w:r>
          <w:r>
            <w:rPr>
              <w:rFonts w:hint="eastAsia" w:ascii="宋体" w:hAnsi="宋体" w:eastAsia="宋体" w:cs="宋体"/>
              <w:bCs/>
              <w:color w:val="auto"/>
              <w:sz w:val="24"/>
              <w:szCs w:val="32"/>
              <w:highlight w:val="none"/>
              <w:lang w:eastAsia="zh-CN"/>
            </w:rPr>
            <w:t xml:space="preserve">竞争性磋商采购公告</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_Toc19126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6"/>
              <w:highlight w:val="none"/>
              <w:lang w:eastAsia="zh-CN"/>
            </w:rPr>
            <w:fldChar w:fldCharType="end"/>
          </w:r>
          <w:r>
            <w:rPr>
              <w:color w:val="auto"/>
              <w:highlight w:val="none"/>
            </w:rPr>
          </w:r>
        </w:p>
        <w:p>
          <w:pPr>
            <w:pStyle w:val="734"/>
            <w:tabs>
              <w:tab w:val="right" w:pos="9451"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6"/>
              <w:highlight w:val="none"/>
              <w:lang w:eastAsia="zh-CN"/>
            </w:rPr>
            <w:fldChar w:fldCharType="begin"/>
          </w:r>
          <w:r>
            <w:rPr>
              <w:rFonts w:hint="eastAsia" w:ascii="宋体" w:hAnsi="宋体" w:eastAsia="宋体" w:cs="宋体"/>
              <w:color w:val="auto"/>
              <w:sz w:val="24"/>
              <w:szCs w:val="36"/>
              <w:highlight w:val="none"/>
              <w:lang w:eastAsia="zh-CN"/>
            </w:rPr>
            <w:instrText xml:space="preserve"> HYPERLINK \l _Toc15868 </w:instrText>
          </w:r>
          <w:r>
            <w:rPr>
              <w:rFonts w:hint="eastAsia" w:ascii="宋体" w:hAnsi="宋体" w:eastAsia="宋体" w:cs="宋体"/>
              <w:color w:val="auto"/>
              <w:sz w:val="24"/>
              <w:szCs w:val="36"/>
              <w:highlight w:val="none"/>
              <w:lang w:eastAsia="zh-CN"/>
            </w:rPr>
            <w:fldChar w:fldCharType="separate"/>
          </w:r>
          <w:r>
            <w:rPr>
              <w:rFonts w:hint="eastAsia" w:ascii="宋体" w:hAnsi="宋体" w:eastAsia="宋体" w:cs="宋体"/>
              <w:bCs/>
              <w:color w:val="auto"/>
              <w:sz w:val="24"/>
              <w:szCs w:val="32"/>
              <w:highlight w:val="none"/>
            </w:rPr>
            <w:t xml:space="preserve">第二章 磋商须知</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_Toc15868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5</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6"/>
              <w:highlight w:val="none"/>
              <w:lang w:eastAsia="zh-CN"/>
            </w:rPr>
            <w:fldChar w:fldCharType="end"/>
          </w:r>
          <w:r>
            <w:rPr>
              <w:color w:val="auto"/>
              <w:highlight w:val="none"/>
            </w:rPr>
          </w:r>
        </w:p>
        <w:p>
          <w:pPr>
            <w:pStyle w:val="734"/>
            <w:tabs>
              <w:tab w:val="right" w:pos="9451"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6"/>
              <w:highlight w:val="none"/>
              <w:lang w:eastAsia="zh-CN"/>
            </w:rPr>
            <w:fldChar w:fldCharType="begin"/>
          </w:r>
          <w:r>
            <w:rPr>
              <w:rFonts w:hint="eastAsia" w:ascii="宋体" w:hAnsi="宋体" w:eastAsia="宋体" w:cs="宋体"/>
              <w:color w:val="auto"/>
              <w:sz w:val="24"/>
              <w:szCs w:val="36"/>
              <w:highlight w:val="none"/>
              <w:lang w:eastAsia="zh-CN"/>
            </w:rPr>
            <w:instrText xml:space="preserve"> HYPERLINK \l _Toc25340 </w:instrText>
          </w:r>
          <w:r>
            <w:rPr>
              <w:rFonts w:hint="eastAsia" w:ascii="宋体" w:hAnsi="宋体" w:eastAsia="宋体" w:cs="宋体"/>
              <w:color w:val="auto"/>
              <w:sz w:val="24"/>
              <w:szCs w:val="36"/>
              <w:highlight w:val="none"/>
              <w:lang w:eastAsia="zh-CN"/>
            </w:rPr>
            <w:fldChar w:fldCharType="separate"/>
          </w:r>
          <w:r>
            <w:rPr>
              <w:rFonts w:hint="eastAsia" w:ascii="宋体" w:hAnsi="宋体" w:eastAsia="宋体" w:cs="宋体"/>
              <w:bCs/>
              <w:color w:val="auto"/>
              <w:sz w:val="24"/>
              <w:szCs w:val="32"/>
              <w:highlight w:val="none"/>
            </w:rPr>
            <w:t xml:space="preserve">第三章 合同条款及格式</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_Toc25340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23</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6"/>
              <w:highlight w:val="none"/>
              <w:lang w:eastAsia="zh-CN"/>
            </w:rPr>
            <w:fldChar w:fldCharType="end"/>
          </w:r>
          <w:r>
            <w:rPr>
              <w:color w:val="auto"/>
              <w:highlight w:val="none"/>
            </w:rPr>
          </w:r>
        </w:p>
        <w:p>
          <w:pPr>
            <w:pStyle w:val="734"/>
            <w:tabs>
              <w:tab w:val="right" w:pos="9451"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6"/>
              <w:highlight w:val="none"/>
              <w:lang w:eastAsia="zh-CN"/>
            </w:rPr>
            <w:fldChar w:fldCharType="begin"/>
          </w:r>
          <w:r>
            <w:rPr>
              <w:rFonts w:hint="eastAsia" w:ascii="宋体" w:hAnsi="宋体" w:eastAsia="宋体" w:cs="宋体"/>
              <w:color w:val="auto"/>
              <w:sz w:val="24"/>
              <w:szCs w:val="36"/>
              <w:highlight w:val="none"/>
              <w:lang w:eastAsia="zh-CN"/>
            </w:rPr>
            <w:instrText xml:space="preserve"> HYPERLINK \l _Toc26996 </w:instrText>
          </w:r>
          <w:r>
            <w:rPr>
              <w:rFonts w:hint="eastAsia" w:ascii="宋体" w:hAnsi="宋体" w:eastAsia="宋体" w:cs="宋体"/>
              <w:color w:val="auto"/>
              <w:sz w:val="24"/>
              <w:szCs w:val="36"/>
              <w:highlight w:val="none"/>
              <w:lang w:eastAsia="zh-CN"/>
            </w:rPr>
            <w:fldChar w:fldCharType="separate"/>
          </w:r>
          <w:r>
            <w:rPr>
              <w:rFonts w:hint="eastAsia" w:ascii="宋体" w:hAnsi="宋体" w:eastAsia="宋体" w:cs="宋体"/>
              <w:bCs/>
              <w:color w:val="auto"/>
              <w:sz w:val="24"/>
              <w:szCs w:val="32"/>
              <w:highlight w:val="none"/>
              <w:lang w:eastAsia="zh-CN"/>
            </w:rPr>
            <w:t xml:space="preserve">第四章</w:t>
          </w:r>
          <w:r>
            <w:rPr>
              <w:rFonts w:hint="eastAsia" w:ascii="宋体" w:hAnsi="宋体" w:eastAsia="宋体" w:cs="宋体"/>
              <w:bCs/>
              <w:color w:val="auto"/>
              <w:sz w:val="24"/>
              <w:szCs w:val="32"/>
              <w:highlight w:val="none"/>
              <w:lang w:val="en-US" w:eastAsia="zh-CN"/>
            </w:rPr>
            <w:t xml:space="preserve"> </w:t>
          </w:r>
          <w:r>
            <w:rPr>
              <w:rFonts w:hint="eastAsia" w:ascii="宋体" w:hAnsi="宋体" w:eastAsia="宋体" w:cs="宋体"/>
              <w:bCs/>
              <w:color w:val="auto"/>
              <w:sz w:val="24"/>
              <w:szCs w:val="32"/>
              <w:highlight w:val="none"/>
              <w:lang w:eastAsia="zh-CN"/>
            </w:rPr>
            <w:t xml:space="preserve">技术标准和</w:t>
          </w:r>
          <w:r>
            <w:rPr>
              <w:rFonts w:hint="eastAsia" w:ascii="宋体" w:hAnsi="宋体" w:eastAsia="宋体" w:cs="宋体"/>
              <w:bCs/>
              <w:color w:val="auto"/>
              <w:sz w:val="24"/>
              <w:szCs w:val="32"/>
              <w:highlight w:val="none"/>
              <w:lang w:val="en-US" w:eastAsia="zh-CN"/>
            </w:rPr>
            <w:t xml:space="preserve">项目需求</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_Toc26996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73</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6"/>
              <w:highlight w:val="none"/>
              <w:lang w:eastAsia="zh-CN"/>
            </w:rPr>
            <w:fldChar w:fldCharType="end"/>
          </w:r>
          <w:r>
            <w:rPr>
              <w:color w:val="auto"/>
              <w:highlight w:val="none"/>
            </w:rPr>
          </w:r>
        </w:p>
        <w:p>
          <w:pPr>
            <w:pStyle w:val="734"/>
            <w:tabs>
              <w:tab w:val="right" w:pos="9451"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6"/>
              <w:highlight w:val="none"/>
              <w:lang w:eastAsia="zh-CN"/>
            </w:rPr>
            <w:fldChar w:fldCharType="begin"/>
          </w:r>
          <w:r>
            <w:rPr>
              <w:rFonts w:hint="eastAsia" w:ascii="宋体" w:hAnsi="宋体" w:eastAsia="宋体" w:cs="宋体"/>
              <w:color w:val="auto"/>
              <w:sz w:val="24"/>
              <w:szCs w:val="36"/>
              <w:highlight w:val="none"/>
              <w:lang w:eastAsia="zh-CN"/>
            </w:rPr>
            <w:instrText xml:space="preserve"> HYPERLINK \l _Toc29603 </w:instrText>
          </w:r>
          <w:r>
            <w:rPr>
              <w:rFonts w:hint="eastAsia" w:ascii="宋体" w:hAnsi="宋体" w:eastAsia="宋体" w:cs="宋体"/>
              <w:color w:val="auto"/>
              <w:sz w:val="24"/>
              <w:szCs w:val="36"/>
              <w:highlight w:val="none"/>
              <w:lang w:eastAsia="zh-CN"/>
            </w:rPr>
            <w:fldChar w:fldCharType="separate"/>
          </w:r>
          <w:r>
            <w:rPr>
              <w:rFonts w:hint="eastAsia" w:ascii="宋体" w:hAnsi="宋体" w:eastAsia="宋体" w:cs="宋体"/>
              <w:bCs/>
              <w:color w:val="auto"/>
              <w:sz w:val="24"/>
              <w:szCs w:val="32"/>
              <w:highlight w:val="none"/>
            </w:rPr>
            <w:t xml:space="preserve">第</w:t>
          </w:r>
          <w:r>
            <w:rPr>
              <w:rFonts w:hint="eastAsia" w:ascii="宋体" w:hAnsi="宋体" w:eastAsia="宋体" w:cs="宋体"/>
              <w:bCs/>
              <w:color w:val="auto"/>
              <w:sz w:val="24"/>
              <w:szCs w:val="32"/>
              <w:highlight w:val="none"/>
              <w:lang w:eastAsia="zh-CN"/>
            </w:rPr>
            <w:t xml:space="preserve">五</w:t>
          </w:r>
          <w:r>
            <w:rPr>
              <w:rFonts w:hint="eastAsia" w:ascii="宋体" w:hAnsi="宋体" w:eastAsia="宋体" w:cs="宋体"/>
              <w:bCs/>
              <w:color w:val="auto"/>
              <w:sz w:val="24"/>
              <w:szCs w:val="32"/>
              <w:highlight w:val="none"/>
            </w:rPr>
            <w:t xml:space="preserve">章 工程量清单</w:t>
          </w:r>
          <w:r>
            <w:rPr>
              <w:rFonts w:hint="eastAsia" w:ascii="宋体" w:hAnsi="宋体" w:eastAsia="宋体" w:cs="宋体"/>
              <w:bCs/>
              <w:color w:val="auto"/>
              <w:sz w:val="24"/>
              <w:szCs w:val="32"/>
              <w:highlight w:val="none"/>
              <w:lang w:eastAsia="zh-CN"/>
            </w:rPr>
            <w:t xml:space="preserve">（</w:t>
          </w:r>
          <w:r>
            <w:rPr>
              <w:rFonts w:hint="eastAsia" w:ascii="宋体" w:hAnsi="宋体" w:eastAsia="宋体" w:cs="宋体"/>
              <w:bCs/>
              <w:color w:val="auto"/>
              <w:sz w:val="24"/>
              <w:szCs w:val="32"/>
              <w:highlight w:val="none"/>
              <w:lang w:val="en-US" w:eastAsia="zh-CN"/>
            </w:rPr>
            <w:t xml:space="preserve">另附</w:t>
          </w:r>
          <w:r>
            <w:rPr>
              <w:rFonts w:hint="eastAsia" w:ascii="宋体" w:hAnsi="宋体" w:eastAsia="宋体" w:cs="宋体"/>
              <w:bCs/>
              <w:color w:val="auto"/>
              <w:sz w:val="24"/>
              <w:szCs w:val="32"/>
              <w:highlight w:val="none"/>
              <w:lang w:eastAsia="zh-CN"/>
            </w:rPr>
            <w:t xml:space="preserve">）</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_Toc29603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76</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6"/>
              <w:highlight w:val="none"/>
              <w:lang w:eastAsia="zh-CN"/>
            </w:rPr>
            <w:fldChar w:fldCharType="end"/>
          </w:r>
          <w:r>
            <w:rPr>
              <w:color w:val="auto"/>
              <w:highlight w:val="none"/>
            </w:rPr>
          </w:r>
        </w:p>
        <w:p>
          <w:pPr>
            <w:pStyle w:val="734"/>
            <w:tabs>
              <w:tab w:val="right" w:pos="9451"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6"/>
              <w:highlight w:val="none"/>
              <w:lang w:eastAsia="zh-CN"/>
            </w:rPr>
            <w:fldChar w:fldCharType="begin"/>
          </w:r>
          <w:r>
            <w:rPr>
              <w:rFonts w:hint="eastAsia" w:ascii="宋体" w:hAnsi="宋体" w:eastAsia="宋体" w:cs="宋体"/>
              <w:color w:val="auto"/>
              <w:sz w:val="24"/>
              <w:szCs w:val="36"/>
              <w:highlight w:val="none"/>
              <w:lang w:eastAsia="zh-CN"/>
            </w:rPr>
            <w:instrText xml:space="preserve"> HYPERLINK \l _Toc27950 </w:instrText>
          </w:r>
          <w:r>
            <w:rPr>
              <w:rFonts w:hint="eastAsia" w:ascii="宋体" w:hAnsi="宋体" w:eastAsia="宋体" w:cs="宋体"/>
              <w:color w:val="auto"/>
              <w:sz w:val="24"/>
              <w:szCs w:val="36"/>
              <w:highlight w:val="none"/>
              <w:lang w:eastAsia="zh-CN"/>
            </w:rPr>
            <w:fldChar w:fldCharType="separate"/>
          </w:r>
          <w:r>
            <w:rPr>
              <w:rFonts w:hint="eastAsia" w:ascii="宋体" w:hAnsi="宋体" w:eastAsia="宋体" w:cs="宋体"/>
              <w:bCs/>
              <w:color w:val="auto"/>
              <w:sz w:val="24"/>
              <w:szCs w:val="32"/>
              <w:highlight w:val="none"/>
            </w:rPr>
            <w:t xml:space="preserve">第</w:t>
          </w:r>
          <w:r>
            <w:rPr>
              <w:rFonts w:hint="eastAsia" w:ascii="宋体" w:hAnsi="宋体" w:eastAsia="宋体" w:cs="宋体"/>
              <w:bCs/>
              <w:color w:val="auto"/>
              <w:sz w:val="24"/>
              <w:szCs w:val="32"/>
              <w:highlight w:val="none"/>
              <w:lang w:eastAsia="zh-CN"/>
            </w:rPr>
            <w:t xml:space="preserve">六</w:t>
          </w:r>
          <w:r>
            <w:rPr>
              <w:rFonts w:hint="eastAsia" w:ascii="宋体" w:hAnsi="宋体" w:eastAsia="宋体" w:cs="宋体"/>
              <w:bCs/>
              <w:color w:val="auto"/>
              <w:sz w:val="24"/>
              <w:szCs w:val="32"/>
              <w:highlight w:val="none"/>
            </w:rPr>
            <w:t xml:space="preserve">章 图纸和技术资料</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_Toc27950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77</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6"/>
              <w:highlight w:val="none"/>
              <w:lang w:eastAsia="zh-CN"/>
            </w:rPr>
            <w:fldChar w:fldCharType="end"/>
          </w:r>
          <w:r>
            <w:rPr>
              <w:color w:val="auto"/>
              <w:highlight w:val="none"/>
            </w:rPr>
          </w:r>
        </w:p>
        <w:p>
          <w:pPr>
            <w:pStyle w:val="734"/>
            <w:tabs>
              <w:tab w:val="right" w:pos="9451"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6"/>
              <w:highlight w:val="none"/>
              <w:lang w:eastAsia="zh-CN"/>
            </w:rPr>
            <w:fldChar w:fldCharType="begin"/>
          </w:r>
          <w:r>
            <w:rPr>
              <w:rFonts w:hint="eastAsia" w:ascii="宋体" w:hAnsi="宋体" w:eastAsia="宋体" w:cs="宋体"/>
              <w:color w:val="auto"/>
              <w:sz w:val="24"/>
              <w:szCs w:val="36"/>
              <w:highlight w:val="none"/>
              <w:lang w:eastAsia="zh-CN"/>
            </w:rPr>
            <w:instrText xml:space="preserve"> HYPERLINK \l _Toc32308 </w:instrText>
          </w:r>
          <w:r>
            <w:rPr>
              <w:rFonts w:hint="eastAsia" w:ascii="宋体" w:hAnsi="宋体" w:eastAsia="宋体" w:cs="宋体"/>
              <w:color w:val="auto"/>
              <w:sz w:val="24"/>
              <w:szCs w:val="36"/>
              <w:highlight w:val="none"/>
              <w:lang w:eastAsia="zh-CN"/>
            </w:rPr>
            <w:fldChar w:fldCharType="separate"/>
          </w:r>
          <w:r>
            <w:rPr>
              <w:rFonts w:hint="eastAsia" w:ascii="宋体" w:hAnsi="宋体" w:eastAsia="宋体" w:cs="宋体"/>
              <w:bCs/>
              <w:color w:val="auto"/>
              <w:sz w:val="24"/>
              <w:szCs w:val="32"/>
              <w:highlight w:val="none"/>
            </w:rPr>
            <w:t xml:space="preserve">第</w:t>
          </w:r>
          <w:r>
            <w:rPr>
              <w:rFonts w:hint="eastAsia" w:ascii="宋体" w:hAnsi="宋体" w:eastAsia="宋体" w:cs="宋体"/>
              <w:bCs/>
              <w:color w:val="auto"/>
              <w:sz w:val="24"/>
              <w:szCs w:val="32"/>
              <w:highlight w:val="none"/>
              <w:lang w:val="en-US" w:eastAsia="zh-CN"/>
            </w:rPr>
            <w:t xml:space="preserve">七</w:t>
          </w:r>
          <w:r>
            <w:rPr>
              <w:rFonts w:hint="eastAsia" w:ascii="宋体" w:hAnsi="宋体" w:eastAsia="宋体" w:cs="宋体"/>
              <w:bCs/>
              <w:color w:val="auto"/>
              <w:sz w:val="24"/>
              <w:szCs w:val="32"/>
              <w:highlight w:val="none"/>
            </w:rPr>
            <w:t xml:space="preserve">章 评审方法和评审标准</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_Toc32308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78</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6"/>
              <w:highlight w:val="none"/>
              <w:lang w:eastAsia="zh-CN"/>
            </w:rPr>
            <w:fldChar w:fldCharType="end"/>
          </w:r>
          <w:r>
            <w:rPr>
              <w:color w:val="auto"/>
              <w:highlight w:val="none"/>
            </w:rPr>
          </w:r>
        </w:p>
        <w:p>
          <w:pPr>
            <w:pStyle w:val="734"/>
            <w:tabs>
              <w:tab w:val="right" w:pos="9451" w:leader="dot"/>
            </w:tabs>
            <w:rPr>
              <w:rFonts w:hint="eastAsia" w:ascii="宋体" w:hAnsi="宋体" w:eastAsia="宋体" w:cs="宋体"/>
              <w:color w:val="auto"/>
              <w:sz w:val="24"/>
              <w:szCs w:val="32"/>
              <w:highlight w:val="none"/>
            </w:rPr>
          </w:pPr>
          <w:r>
            <w:rPr>
              <w:rFonts w:hint="eastAsia" w:ascii="宋体" w:hAnsi="宋体" w:eastAsia="宋体" w:cs="宋体"/>
              <w:color w:val="auto"/>
              <w:sz w:val="24"/>
              <w:szCs w:val="36"/>
              <w:highlight w:val="none"/>
              <w:lang w:eastAsia="zh-CN"/>
            </w:rPr>
            <w:fldChar w:fldCharType="begin"/>
          </w:r>
          <w:r>
            <w:rPr>
              <w:rFonts w:hint="eastAsia" w:ascii="宋体" w:hAnsi="宋体" w:eastAsia="宋体" w:cs="宋体"/>
              <w:color w:val="auto"/>
              <w:sz w:val="24"/>
              <w:szCs w:val="36"/>
              <w:highlight w:val="none"/>
              <w:lang w:eastAsia="zh-CN"/>
            </w:rPr>
            <w:instrText xml:space="preserve"> HYPERLINK \l _Toc16481 </w:instrText>
          </w:r>
          <w:r>
            <w:rPr>
              <w:rFonts w:hint="eastAsia" w:ascii="宋体" w:hAnsi="宋体" w:eastAsia="宋体" w:cs="宋体"/>
              <w:color w:val="auto"/>
              <w:sz w:val="24"/>
              <w:szCs w:val="36"/>
              <w:highlight w:val="none"/>
              <w:lang w:eastAsia="zh-CN"/>
            </w:rPr>
            <w:fldChar w:fldCharType="separate"/>
          </w:r>
          <w:r>
            <w:rPr>
              <w:rFonts w:hint="eastAsia" w:ascii="宋体" w:hAnsi="宋体" w:eastAsia="宋体" w:cs="宋体"/>
              <w:bCs/>
              <w:color w:val="auto"/>
              <w:sz w:val="24"/>
              <w:szCs w:val="52"/>
              <w:highlight w:val="none"/>
            </w:rPr>
            <w:t xml:space="preserve">第</w:t>
          </w:r>
          <w:r>
            <w:rPr>
              <w:rFonts w:hint="eastAsia" w:ascii="宋体" w:hAnsi="宋体" w:eastAsia="宋体" w:cs="宋体"/>
              <w:bCs/>
              <w:color w:val="auto"/>
              <w:sz w:val="24"/>
              <w:szCs w:val="52"/>
              <w:highlight w:val="none"/>
              <w:lang w:val="en-US" w:eastAsia="zh-CN"/>
            </w:rPr>
            <w:t xml:space="preserve">八</w:t>
          </w:r>
          <w:r>
            <w:rPr>
              <w:rFonts w:hint="eastAsia" w:ascii="宋体" w:hAnsi="宋体" w:eastAsia="宋体" w:cs="宋体"/>
              <w:bCs/>
              <w:color w:val="auto"/>
              <w:sz w:val="24"/>
              <w:szCs w:val="52"/>
              <w:highlight w:val="none"/>
            </w:rPr>
            <w:t xml:space="preserve">章 竞争性磋商响应文件格式</w:t>
          </w:r>
          <w:r>
            <w:rPr>
              <w:rFonts w:hint="eastAsia" w:ascii="宋体" w:hAnsi="宋体" w:eastAsia="宋体" w:cs="宋体"/>
              <w:color w:val="auto"/>
              <w:sz w:val="24"/>
              <w:szCs w:val="32"/>
              <w:highlight w:val="none"/>
            </w:rPr>
            <w:tab/>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PAGEREF _Toc16481 \h </w:instrText>
          </w:r>
          <w:r>
            <w:rPr>
              <w:rFonts w:hint="eastAsia" w:ascii="宋体" w:hAnsi="宋体" w:eastAsia="宋体" w:cs="宋体"/>
              <w:color w:val="auto"/>
              <w:sz w:val="24"/>
              <w:szCs w:val="32"/>
              <w:highlight w:val="none"/>
            </w:rPr>
            <w:fldChar w:fldCharType="separate"/>
          </w:r>
          <w:r>
            <w:rPr>
              <w:rFonts w:hint="eastAsia" w:ascii="宋体" w:hAnsi="宋体" w:eastAsia="宋体" w:cs="宋体"/>
              <w:color w:val="auto"/>
              <w:sz w:val="24"/>
              <w:szCs w:val="32"/>
              <w:highlight w:val="none"/>
            </w:rPr>
            <w:t xml:space="preserve">82</w:t>
          </w:r>
          <w:r>
            <w:rPr>
              <w:rFonts w:hint="eastAsia" w:ascii="宋体" w:hAnsi="宋体" w:eastAsia="宋体" w:cs="宋体"/>
              <w:color w:val="auto"/>
              <w:sz w:val="24"/>
              <w:szCs w:val="32"/>
              <w:highlight w:val="none"/>
            </w:rPr>
            <w:fldChar w:fldCharType="end"/>
          </w:r>
          <w:r>
            <w:rPr>
              <w:rFonts w:hint="eastAsia" w:ascii="宋体" w:hAnsi="宋体" w:eastAsia="宋体" w:cs="宋体"/>
              <w:color w:val="auto"/>
              <w:sz w:val="24"/>
              <w:szCs w:val="36"/>
              <w:highlight w:val="none"/>
              <w:lang w:eastAsia="zh-CN"/>
            </w:rPr>
            <w:fldChar w:fldCharType="end"/>
          </w:r>
          <w:r>
            <w:rPr>
              <w:color w:val="auto"/>
              <w:highlight w:val="none"/>
            </w:rPr>
          </w:r>
        </w:p>
        <w:p>
          <w:pPr>
            <w:pStyle w:val="996"/>
            <w:keepLines w:val="0"/>
            <w:keepNext w:val="0"/>
            <w:pageBreakBefore w:val="0"/>
            <w:spacing w:line="360" w:lineRule="auto"/>
            <w:widowControl/>
            <w:tabs>
              <w:tab w:val="right" w:pos="9451" w:leader="dot"/>
            </w:tabs>
            <w:rPr>
              <w:rFonts w:hint="eastAsia" w:ascii="宋体" w:hAnsi="宋体" w:eastAsia="宋体" w:cs="宋体"/>
              <w:color w:val="auto"/>
              <w:szCs w:val="28"/>
              <w:highlight w:val="none"/>
            </w:rPr>
          </w:pPr>
          <w:r>
            <w:rPr>
              <w:rFonts w:hint="eastAsia" w:ascii="宋体" w:hAnsi="宋体" w:eastAsia="宋体" w:cs="宋体"/>
              <w:color w:val="auto"/>
              <w:sz w:val="22"/>
              <w:szCs w:val="36"/>
              <w:highlight w:val="none"/>
              <w:lang w:eastAsia="zh-CN"/>
            </w:rPr>
            <w:fldChar w:fldCharType="end"/>
          </w:r>
          <w:r>
            <w:rPr>
              <w:color w:val="auto"/>
              <w:highlight w:val="none"/>
            </w:rPr>
          </w:r>
        </w:p>
      </w:sdtContent>
    </w:sdt>
    <w:p>
      <w:pPr>
        <w:pStyle w:val="996"/>
        <w:keepLines w:val="0"/>
        <w:keepNext w:val="0"/>
        <w:pageBreakBefore w:val="0"/>
        <w:spacing w:line="360" w:lineRule="auto"/>
        <w:widowControl/>
        <w:tabs>
          <w:tab w:val="right" w:pos="9451" w:leader="dot"/>
        </w:tabs>
        <w:rPr>
          <w:rFonts w:hint="eastAsia" w:ascii="宋体" w:hAnsi="宋体" w:eastAsia="宋体" w:cs="宋体"/>
          <w:color w:val="auto"/>
          <w:szCs w:val="28"/>
          <w:highlight w:val="none"/>
        </w:rPr>
      </w:pPr>
      <w:r>
        <w:rPr>
          <w:rFonts w:hint="eastAsia" w:ascii="宋体" w:hAnsi="宋体" w:eastAsia="宋体" w:cs="宋体"/>
          <w:color w:val="auto"/>
          <w:szCs w:val="28"/>
          <w:highlight w:val="none"/>
          <w:lang w:val="en-US" w:eastAsia="zh-CN" w:bidi="ar-SA"/>
        </w:rPr>
      </w:r>
      <w:r>
        <w:rPr>
          <w:color w:val="auto"/>
          <w:highlight w:val="none"/>
        </w:rPr>
      </w:r>
    </w:p>
    <w:p>
      <w:pPr>
        <w:pStyle w:val="911"/>
        <w:jc w:val="center"/>
        <w:spacing w:line="480" w:lineRule="auto"/>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rPr>
          <w:color w:val="auto"/>
          <w:highlight w:val="none"/>
        </w:rPr>
      </w:r>
    </w:p>
    <w:p>
      <w:pPr>
        <w:pStyle w:val="911"/>
        <w:jc w:val="center"/>
        <w:rPr>
          <w:rFonts w:hint="eastAsia" w:ascii="宋体" w:hAnsi="宋体" w:eastAsia="宋体" w:cs="宋体"/>
          <w:color w:val="auto"/>
          <w:sz w:val="44"/>
          <w:szCs w:val="44"/>
          <w:highlight w:val="none"/>
        </w:rPr>
        <w:outlineLvl w:val="9"/>
      </w:pPr>
      <w:r>
        <w:rPr>
          <w:color w:val="auto"/>
          <w:highlight w:val="none"/>
        </w:rPr>
      </w:r>
      <w:bookmarkStart w:id="8" w:name="_Toc9367"/>
      <w:r>
        <w:rPr>
          <w:color w:val="auto"/>
          <w:highlight w:val="none"/>
        </w:rPr>
      </w:r>
      <w:r>
        <w:rPr>
          <w:color w:val="auto"/>
          <w:highlight w:val="none"/>
        </w:rPr>
      </w:r>
    </w:p>
    <w:p>
      <w:pPr>
        <w:pStyle w:val="911"/>
        <w:jc w:val="center"/>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rPr>
          <w:color w:val="auto"/>
          <w:highlight w:val="none"/>
        </w:rPr>
      </w:r>
    </w:p>
    <w:p>
      <w:pPr>
        <w:pStyle w:val="911"/>
        <w:jc w:val="center"/>
        <w:rPr>
          <w:rFonts w:hint="eastAsia" w:ascii="宋体" w:hAnsi="宋体" w:eastAsia="宋体" w:cs="宋体"/>
          <w:color w:val="auto"/>
          <w:sz w:val="44"/>
          <w:szCs w:val="44"/>
          <w:highlight w:val="none"/>
        </w:rPr>
        <w:outlineLvl w:val="9"/>
      </w:pPr>
      <w:r>
        <w:rPr>
          <w:rFonts w:hint="eastAsia" w:ascii="宋体" w:hAnsi="宋体" w:eastAsia="宋体" w:cs="宋体"/>
          <w:color w:val="auto"/>
          <w:sz w:val="44"/>
          <w:szCs w:val="44"/>
          <w:highlight w:val="none"/>
        </w:rPr>
      </w:r>
      <w:r>
        <w:rPr>
          <w:color w:val="auto"/>
          <w:highlight w:val="none"/>
        </w:rP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rPr>
          <w:color w:val="auto"/>
          <w:highlight w:val="none"/>
        </w:rP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bookmarkEnd w:id="8"/>
      <w:r>
        <w:rPr>
          <w:color w:val="auto"/>
        </w:rPr>
      </w:r>
      <w:r>
        <w:rPr>
          <w:color w:val="auto"/>
          <w:highlight w:val="none"/>
        </w:rPr>
      </w:r>
    </w:p>
    <w:p>
      <w:pPr>
        <w:pStyle w:val="911"/>
        <w:jc w:val="both"/>
        <w:rPr>
          <w:rFonts w:hint="eastAsia" w:ascii="宋体" w:hAnsi="宋体" w:eastAsia="宋体" w:cs="宋体"/>
          <w:color w:val="auto"/>
          <w:sz w:val="44"/>
          <w:szCs w:val="44"/>
          <w:highlight w:val="none"/>
        </w:rPr>
        <w:sectPr>
          <w:headerReference w:type="default" r:id="rId9"/>
          <w:footerReference w:type="default" r:id="rId10"/>
          <w:footnotePr/>
          <w:endnotePr/>
          <w:type w:val="nextPage"/>
          <w:pgSz w:w="11906" w:h="16838" w:orient="portrait"/>
          <w:pgMar w:top="1113" w:right="1196" w:bottom="868" w:left="1259" w:header="851" w:footer="907" w:gutter="0"/>
          <w:pgNumType w:start="1"/>
          <w:cols w:num="1" w:sep="0" w:space="1701" w:equalWidth="1"/>
          <w:docGrid w:linePitch="360"/>
          <w:titlePg/>
        </w:sectPr>
        <w:outlineLvl w:val="9"/>
      </w:pPr>
      <w:r>
        <w:rPr>
          <w:rFonts w:hint="eastAsia" w:ascii="宋体" w:hAnsi="宋体" w:eastAsia="宋体" w:cs="宋体"/>
          <w:color w:val="auto"/>
          <w:sz w:val="44"/>
          <w:szCs w:val="44"/>
          <w:highlight w:val="none"/>
        </w:rPr>
      </w:r>
      <w:r>
        <w:rPr>
          <w:color w:val="auto"/>
          <w:highlight w:val="none"/>
        </w:rPr>
      </w:r>
    </w:p>
    <w:p>
      <w:pPr>
        <w:pStyle w:val="709"/>
        <w:numPr>
          <w:ilvl w:val="0"/>
          <w:numId w:val="3"/>
        </w:numPr>
        <w:jc w:val="center"/>
        <w:rPr>
          <w:rFonts w:hint="eastAsia"/>
          <w:b/>
          <w:bCs/>
          <w:color w:val="auto"/>
          <w:highlight w:val="none"/>
        </w:rPr>
      </w:pPr>
      <w:r>
        <w:rPr>
          <w:color w:val="auto"/>
          <w:highlight w:val="none"/>
        </w:rPr>
      </w:r>
      <w:bookmarkStart w:id="9" w:name="_Toc19126"/>
      <w:r>
        <w:rPr>
          <w:rFonts w:hint="eastAsia"/>
          <w:b/>
          <w:bCs/>
          <w:color w:val="auto"/>
          <w:highlight w:val="none"/>
          <w:lang w:eastAsia="zh-CN"/>
        </w:rPr>
        <w:t xml:space="preserve">竞争性磋商采购公告</w:t>
      </w:r>
      <w:bookmarkEnd w:id="9"/>
      <w:r>
        <w:rPr>
          <w:color w:val="auto"/>
          <w:highlight w:val="none"/>
        </w:rPr>
      </w:r>
      <w:r>
        <w:rPr>
          <w:color w:val="auto"/>
          <w:highlight w:val="none"/>
        </w:rPr>
      </w:r>
    </w:p>
    <w:p>
      <w:pPr>
        <w:ind w:firstLine="480"/>
        <w:pageBreakBefore w:val="0"/>
        <w:spacing w:line="480" w:lineRule="exact"/>
        <w:widowControl w:val="off"/>
        <w:rPr>
          <w:rFonts w:hint="eastAsia" w:ascii="宋体" w:hAnsi="宋体" w:cs="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color w:val="auto"/>
          <w:highlight w:val="none"/>
        </w:rPr>
      </w:r>
      <w:bookmarkStart w:id="10" w:name="_Toc35393629"/>
      <w:r>
        <w:rPr>
          <w:color w:val="auto"/>
          <w:highlight w:val="none"/>
        </w:rPr>
      </w:r>
      <w:bookmarkStart w:id="11" w:name="_Toc28359012"/>
      <w:r>
        <w:rPr>
          <w:color w:val="auto"/>
          <w:highlight w:val="none"/>
        </w:rPr>
      </w:r>
      <w:bookmarkStart w:id="12" w:name="_Toc28359089"/>
      <w:r>
        <w:rPr>
          <w:color w:val="auto"/>
          <w:highlight w:val="none"/>
        </w:rPr>
      </w:r>
      <w:bookmarkStart w:id="13" w:name="_Toc35393798"/>
      <w:r>
        <w:rPr>
          <w:rFonts w:hint="eastAsia" w:ascii="宋体" w:hAnsi="宋体" w:cs="宋体"/>
          <w:color w:val="auto"/>
          <w:sz w:val="24"/>
          <w:szCs w:val="28"/>
          <w:highlight w:val="none"/>
        </w:rPr>
        <w:t xml:space="preserve">项目概况</w:t>
      </w:r>
      <w:r>
        <w:rPr>
          <w:rFonts w:hint="eastAsia" w:ascii="宋体" w:hAnsi="宋体" w:cs="宋体"/>
          <w:color w:val="auto"/>
          <w:sz w:val="24"/>
          <w:szCs w:val="28"/>
          <w:highlight w:val="none"/>
          <w:lang w:eastAsia="zh-CN"/>
        </w:rPr>
        <w:t xml:space="preserve">：</w:t>
      </w:r>
      <w:r>
        <w:rPr>
          <w:rFonts w:hint="eastAsia" w:ascii="宋体" w:hAnsi="宋体" w:cs="宋体"/>
          <w:b/>
          <w:bCs/>
          <w:color w:val="auto"/>
          <w:sz w:val="24"/>
          <w:szCs w:val="28"/>
          <w:highlight w:val="none"/>
          <w:u w:val="single"/>
          <w:lang w:eastAsia="zh-CN"/>
        </w:rPr>
        <w:t xml:space="preserve">东院区用电增容项目改造施工（专门面向中小企业）</w:t>
      </w:r>
      <w:r>
        <w:rPr>
          <w:rFonts w:hint="eastAsia" w:ascii="宋体" w:hAnsi="宋体" w:cs="宋体"/>
          <w:color w:val="auto"/>
          <w:sz w:val="24"/>
          <w:szCs w:val="28"/>
          <w:highlight w:val="none"/>
        </w:rPr>
        <w:t xml:space="preserve">的潜在供应商应在</w:t>
      </w:r>
      <w:r>
        <w:rPr>
          <w:rFonts w:hint="eastAsia" w:ascii="宋体" w:hAnsi="宋体" w:cs="宋体"/>
          <w:b/>
          <w:bCs/>
          <w:color w:val="auto"/>
          <w:sz w:val="24"/>
          <w:szCs w:val="28"/>
          <w:highlight w:val="none"/>
          <w:u w:val="single"/>
          <w:lang w:val="en-US" w:eastAsia="zh-CN"/>
        </w:rPr>
        <w:t xml:space="preserve"> 江苏政府采购网</w:t>
      </w:r>
      <w:r>
        <w:rPr>
          <w:rFonts w:hint="eastAsia" w:ascii="宋体" w:hAnsi="宋体" w:cs="宋体"/>
          <w:color w:val="auto"/>
          <w:sz w:val="24"/>
          <w:szCs w:val="28"/>
          <w:highlight w:val="none"/>
          <w:u w:val="single"/>
          <w:lang w:val="en-US" w:eastAsia="zh-CN"/>
        </w:rPr>
        <w:t xml:space="preserve"> </w:t>
      </w:r>
      <w:r>
        <w:rPr>
          <w:rFonts w:hint="eastAsia" w:ascii="宋体" w:hAnsi="宋体" w:cs="宋体"/>
          <w:color w:val="auto"/>
          <w:sz w:val="24"/>
          <w:szCs w:val="28"/>
          <w:highlight w:val="none"/>
        </w:rPr>
        <w:t xml:space="preserve">获取竞争性磋商文件，并于</w:t>
      </w:r>
      <w:r>
        <w:rPr>
          <w:rFonts w:hint="eastAsia" w:ascii="宋体" w:hAnsi="宋体" w:cs="宋体"/>
          <w:b/>
          <w:bCs/>
          <w:color w:val="auto"/>
          <w:sz w:val="24"/>
          <w:szCs w:val="28"/>
          <w:highlight w:val="none"/>
          <w:u w:val="single"/>
        </w:rPr>
        <w:t xml:space="preserve">202</w:t>
      </w:r>
      <w:r>
        <w:rPr>
          <w:rFonts w:hint="eastAsia" w:ascii="宋体" w:hAnsi="宋体" w:cs="宋体"/>
          <w:b/>
          <w:bCs/>
          <w:color w:val="auto"/>
          <w:sz w:val="24"/>
          <w:szCs w:val="28"/>
          <w:highlight w:val="none"/>
          <w:u w:val="single"/>
          <w:lang w:val="en-US" w:eastAsia="zh-CN"/>
        </w:rPr>
        <w:t xml:space="preserve">5</w:t>
      </w:r>
      <w:r>
        <w:rPr>
          <w:rFonts w:hint="eastAsia" w:ascii="宋体" w:hAnsi="宋体" w:cs="宋体"/>
          <w:b/>
          <w:bCs/>
          <w:color w:val="auto"/>
          <w:sz w:val="24"/>
          <w:szCs w:val="28"/>
          <w:highlight w:val="none"/>
          <w:u w:val="single"/>
        </w:rPr>
        <w:t xml:space="preserve">年</w:t>
      </w:r>
      <w:r>
        <w:rPr>
          <w:rFonts w:hint="eastAsia" w:ascii="宋体" w:hAnsi="宋体" w:cs="宋体"/>
          <w:b/>
          <w:bCs/>
          <w:color w:val="auto"/>
          <w:sz w:val="24"/>
          <w:szCs w:val="28"/>
          <w:highlight w:val="none"/>
          <w:u w:val="single"/>
          <w:lang w:val="en-US" w:eastAsia="zh-CN"/>
        </w:rPr>
        <w:t xml:space="preserve">12</w:t>
      </w:r>
      <w:r>
        <w:rPr>
          <w:rFonts w:hint="eastAsia" w:ascii="宋体" w:hAnsi="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4</w:t>
      </w:r>
      <w:r>
        <w:rPr>
          <w:rFonts w:hint="eastAsia" w:ascii="宋体" w:hAnsi="宋体" w:cs="宋体"/>
          <w:b/>
          <w:bCs/>
          <w:color w:val="auto"/>
          <w:sz w:val="24"/>
          <w:szCs w:val="28"/>
          <w:highlight w:val="none"/>
          <w:u w:val="single"/>
        </w:rPr>
        <w:t xml:space="preserve">日</w:t>
      </w:r>
      <w:r>
        <w:rPr>
          <w:rFonts w:hint="eastAsia" w:ascii="宋体" w:hAnsi="宋体" w:cs="宋体"/>
          <w:b/>
          <w:bCs/>
          <w:color w:val="auto"/>
          <w:sz w:val="24"/>
          <w:szCs w:val="28"/>
          <w:highlight w:val="none"/>
          <w:u w:val="single"/>
          <w:lang w:val="en-US" w:eastAsia="zh-CN"/>
        </w:rPr>
        <w:t xml:space="preserve">09</w:t>
      </w:r>
      <w:r>
        <w:rPr>
          <w:rFonts w:hint="eastAsia" w:ascii="宋体" w:hAnsi="宋体" w:cs="宋体"/>
          <w:b/>
          <w:bCs/>
          <w:color w:val="auto"/>
          <w:sz w:val="24"/>
          <w:szCs w:val="28"/>
          <w:highlight w:val="none"/>
          <w:u w:val="single"/>
        </w:rPr>
        <w:t xml:space="preserve">时</w:t>
      </w:r>
      <w:r>
        <w:rPr>
          <w:rFonts w:hint="eastAsia" w:ascii="宋体" w:hAnsi="宋体" w:cs="宋体"/>
          <w:b/>
          <w:bCs/>
          <w:color w:val="auto"/>
          <w:sz w:val="24"/>
          <w:szCs w:val="28"/>
          <w:highlight w:val="none"/>
          <w:u w:val="single"/>
          <w:lang w:val="en-US" w:eastAsia="zh-CN"/>
        </w:rPr>
        <w:t xml:space="preserve">00</w:t>
      </w:r>
      <w:r>
        <w:rPr>
          <w:rFonts w:hint="eastAsia" w:ascii="宋体" w:hAnsi="宋体" w:cs="宋体"/>
          <w:b/>
          <w:bCs/>
          <w:color w:val="auto"/>
          <w:sz w:val="24"/>
          <w:szCs w:val="28"/>
          <w:highlight w:val="none"/>
          <w:u w:val="single"/>
        </w:rPr>
        <w:t xml:space="preserve">分00秒</w:t>
      </w:r>
      <w:r>
        <w:rPr>
          <w:rFonts w:hint="eastAsia" w:ascii="宋体" w:hAnsi="宋体" w:cs="宋体"/>
          <w:color w:val="auto"/>
          <w:sz w:val="24"/>
          <w:szCs w:val="28"/>
          <w:highlight w:val="none"/>
        </w:rPr>
        <w:t xml:space="preserve">（北京时间）前上传电子响应文件。 </w:t>
      </w:r>
      <w:r>
        <w:rPr>
          <w:color w:val="auto"/>
          <w:highlight w:val="none"/>
        </w:rPr>
      </w:r>
    </w:p>
    <w:p>
      <w:pPr>
        <w:ind w:right="0" w:firstLine="482"/>
        <w:jc w:val="both"/>
        <w:keepLines w:val="0"/>
        <w:keepNext w:val="0"/>
        <w:pageBreakBefore w:val="0"/>
        <w:spacing w:line="480" w:lineRule="exact"/>
        <w:widowControl w:val="off"/>
        <w:rPr>
          <w:rFonts w:hint="eastAsia" w:ascii="黑体" w:hAnsi="黑体" w:eastAsia="黑体" w:cs="黑体"/>
          <w:b/>
          <w:bCs w:val="0"/>
          <w:color w:val="auto"/>
          <w:sz w:val="24"/>
          <w:szCs w:val="24"/>
          <w:highlight w:val="none"/>
        </w:rPr>
        <w:outlineLvl w:val="9"/>
      </w:pPr>
      <w:r>
        <w:rPr>
          <w:rFonts w:hint="eastAsia" w:ascii="黑体" w:hAnsi="黑体" w:eastAsia="黑体" w:cs="黑体"/>
          <w:b/>
          <w:bCs w:val="0"/>
          <w:color w:val="auto"/>
          <w:sz w:val="24"/>
          <w:szCs w:val="24"/>
          <w:highlight w:val="none"/>
        </w:rPr>
        <w:t xml:space="preserve">一、项目基本情况</w:t>
      </w:r>
      <w:bookmarkEnd w:id="10"/>
      <w:r>
        <w:rPr>
          <w:color w:val="auto"/>
          <w:highlight w:val="none"/>
        </w:rPr>
      </w:r>
      <w:bookmarkEnd w:id="11"/>
      <w:r>
        <w:rPr>
          <w:color w:val="auto"/>
          <w:highlight w:val="none"/>
        </w:rPr>
      </w:r>
      <w:bookmarkEnd w:id="12"/>
      <w:r>
        <w:rPr>
          <w:color w:val="auto"/>
          <w:highlight w:val="none"/>
        </w:rPr>
      </w:r>
      <w:bookmarkEnd w:id="13"/>
      <w:r>
        <w:rPr>
          <w:color w:val="auto"/>
          <w:highlight w:val="none"/>
        </w:rPr>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val="en-US" w:eastAsia="zh-CN"/>
        </w:rPr>
        <w:t xml:space="preserve">JSZC-320700-DZZC-C2025-0013</w:t>
      </w:r>
      <w:r>
        <w:rPr>
          <w:rFonts w:hint="eastAsia" w:ascii="宋体" w:hAnsi="宋体" w:cs="宋体"/>
          <w:color w:val="auto"/>
          <w:sz w:val="24"/>
          <w:szCs w:val="24"/>
          <w:highlight w:val="none"/>
          <w:lang w:val="en-US" w:eastAsia="zh-CN"/>
        </w:rPr>
        <w:t xml:space="preserve"> </w:t>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eastAsia="zh-CN"/>
        </w:rPr>
        <w:t xml:space="preserve">东院区用电增容项目改造施工（专门面向中小企业）</w:t>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采购方式：竞争性磋商</w:t>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4、预算金额：</w:t>
      </w:r>
      <w:r>
        <w:rPr>
          <w:rFonts w:hint="eastAsia" w:ascii="宋体" w:hAnsi="宋体" w:eastAsia="宋体" w:cs="宋体"/>
          <w:b/>
          <w:bCs/>
          <w:color w:val="auto"/>
          <w:sz w:val="24"/>
          <w:szCs w:val="24"/>
          <w:highlight w:val="none"/>
          <w:lang w:val="en-US" w:eastAsia="zh-CN"/>
        </w:rPr>
        <w:t xml:space="preserve">人民币</w:t>
      </w:r>
      <w:r>
        <w:rPr>
          <w:rFonts w:hint="eastAsia" w:ascii="宋体" w:hAnsi="宋体" w:cs="宋体"/>
          <w:b/>
          <w:bCs/>
          <w:color w:val="auto"/>
          <w:sz w:val="24"/>
          <w:szCs w:val="24"/>
          <w:highlight w:val="none"/>
          <w:lang w:val="en-US" w:eastAsia="zh-CN"/>
        </w:rPr>
        <w:t xml:space="preserve">280万</w:t>
      </w:r>
      <w:r>
        <w:rPr>
          <w:rFonts w:hint="eastAsia" w:ascii="宋体" w:hAnsi="宋体" w:eastAsia="宋体" w:cs="宋体"/>
          <w:b/>
          <w:bCs/>
          <w:color w:val="auto"/>
          <w:sz w:val="24"/>
          <w:szCs w:val="24"/>
          <w:highlight w:val="none"/>
          <w:lang w:val="en-US" w:eastAsia="zh-CN"/>
        </w:rPr>
        <w:t xml:space="preserve">元</w:t>
      </w:r>
      <w:r>
        <w:rPr>
          <w:color w:val="auto"/>
          <w:highlight w:val="none"/>
        </w:rPr>
      </w:r>
    </w:p>
    <w:p>
      <w:pPr>
        <w:ind w:right="0" w:firstLine="480"/>
        <w:jc w:val="both"/>
        <w:keepLines w:val="0"/>
        <w:keepNext w:val="0"/>
        <w:pageBreakBefore w:val="0"/>
        <w:spacing w:line="480" w:lineRule="exact"/>
        <w:widowControl w:val="off"/>
        <w:rPr>
          <w:rFonts w:hint="default"/>
          <w:color w:val="auto"/>
          <w:sz w:val="28"/>
          <w:szCs w:val="36"/>
          <w:highlight w:val="none"/>
        </w:rPr>
        <w:outlineLvl w:val="9"/>
      </w:pPr>
      <w:r>
        <w:rPr>
          <w:rFonts w:hint="eastAsia" w:ascii="宋体" w:hAnsi="宋体" w:eastAsia="宋体" w:cs="宋体"/>
          <w:color w:val="auto"/>
          <w:sz w:val="24"/>
          <w:szCs w:val="24"/>
          <w:highlight w:val="none"/>
          <w:lang w:val="en-US" w:eastAsia="zh-CN"/>
        </w:rPr>
        <w:t xml:space="preserve">5、最高限价：人民币2781021.78元，报价超过最高限价的按无效响应处理</w:t>
      </w:r>
      <w:r>
        <w:rPr>
          <w:rFonts w:hint="eastAsia" w:ascii="宋体" w:hAnsi="宋体" w:cs="宋体"/>
          <w:color w:val="auto"/>
          <w:sz w:val="24"/>
          <w:szCs w:val="24"/>
          <w:highlight w:val="none"/>
          <w:lang w:val="en-US" w:eastAsia="zh-CN"/>
        </w:rPr>
        <w:t xml:space="preserve">；</w:t>
      </w:r>
      <w:r>
        <w:rPr>
          <w:color w:val="auto"/>
          <w:highlight w:val="none"/>
        </w:rPr>
      </w:r>
    </w:p>
    <w:p>
      <w:pPr>
        <w:ind w:right="0" w:firstLine="480"/>
        <w:jc w:val="both"/>
        <w:keepLines w:val="0"/>
        <w:keepNext w:val="0"/>
        <w:pageBreakBefore w:val="0"/>
        <w:spacing w:line="480" w:lineRule="exact"/>
        <w:widowControl w:val="off"/>
        <w:rPr>
          <w:rFonts w:hint="default" w:ascii="宋体" w:hAnsi="宋体" w:eastAsia="宋体" w:cs="宋体"/>
          <w:color w:val="auto"/>
          <w:sz w:val="24"/>
          <w:highlight w:val="none"/>
        </w:rPr>
        <w:outlineLvl w:val="9"/>
      </w:pPr>
      <w:r>
        <w:rPr>
          <w:rFonts w:hint="eastAsia" w:ascii="宋体" w:hAnsi="宋体" w:cs="宋体"/>
          <w:color w:val="auto"/>
          <w:sz w:val="24"/>
          <w:szCs w:val="24"/>
          <w:highlight w:val="none"/>
          <w:lang w:val="en-US" w:eastAsia="zh-CN"/>
        </w:rPr>
        <w:t xml:space="preserve">6、采购需求</w:t>
      </w:r>
      <w:r>
        <w:rPr>
          <w:rFonts w:hint="eastAsia" w:ascii="宋体" w:hAnsi="宋体" w:eastAsia="宋体" w:cs="宋体"/>
          <w:color w:val="auto"/>
          <w:sz w:val="24"/>
          <w:szCs w:val="24"/>
          <w:highlight w:val="none"/>
        </w:rPr>
        <w:t xml:space="preserve">：</w:t>
      </w:r>
      <w:r>
        <w:rPr>
          <w:rFonts w:hint="eastAsia" w:ascii="宋体" w:hAnsi="宋体" w:cs="宋体"/>
          <w:b/>
          <w:bCs/>
          <w:color w:val="auto"/>
          <w:sz w:val="24"/>
          <w:szCs w:val="24"/>
          <w:highlight w:val="none"/>
          <w:lang w:eastAsia="zh-CN"/>
        </w:rPr>
        <w:t xml:space="preserve">东院区用电增容项目改造施工</w:t>
      </w:r>
      <w:r>
        <w:rPr>
          <w:rFonts w:hint="eastAsia" w:ascii="宋体" w:hAnsi="宋体" w:eastAsia="宋体" w:cs="宋体"/>
          <w:color w:val="auto"/>
          <w:sz w:val="24"/>
          <w:highlight w:val="none"/>
          <w:lang w:val="en-US" w:eastAsia="zh-CN"/>
        </w:rPr>
        <w:t xml:space="preserve">，具体施工内容</w:t>
      </w:r>
      <w:r>
        <w:rPr>
          <w:rFonts w:hint="eastAsia" w:ascii="宋体" w:hAnsi="宋体" w:cs="宋体"/>
          <w:color w:val="auto"/>
          <w:sz w:val="24"/>
          <w:highlight w:val="none"/>
          <w:lang w:val="en-US" w:eastAsia="zh-CN"/>
        </w:rPr>
        <w:t xml:space="preserve">详</w:t>
      </w:r>
      <w:r>
        <w:rPr>
          <w:rFonts w:hint="eastAsia" w:ascii="宋体" w:hAnsi="宋体" w:eastAsia="宋体" w:cs="宋体"/>
          <w:color w:val="auto"/>
          <w:sz w:val="24"/>
          <w:highlight w:val="none"/>
          <w:lang w:val="en-US" w:eastAsia="zh-CN"/>
        </w:rPr>
        <w:t xml:space="preserve">见工程量清单</w:t>
      </w:r>
      <w:r>
        <w:rPr>
          <w:rFonts w:hint="eastAsia" w:ascii="宋体" w:hAnsi="宋体" w:cs="宋体"/>
          <w:color w:val="auto"/>
          <w:sz w:val="24"/>
          <w:highlight w:val="none"/>
          <w:lang w:val="en-US" w:eastAsia="zh-CN"/>
        </w:rPr>
        <w:t xml:space="preserve">及图纸</w:t>
      </w:r>
      <w:r>
        <w:rPr>
          <w:rFonts w:hint="eastAsia" w:ascii="宋体" w:hAnsi="宋体" w:eastAsia="宋体" w:cs="宋体"/>
          <w:color w:val="auto"/>
          <w:sz w:val="24"/>
          <w:highlight w:val="none"/>
          <w:lang w:val="en-US" w:eastAsia="zh-CN"/>
        </w:rPr>
        <w:t xml:space="preserve">；</w:t>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color w:val="auto"/>
          <w:sz w:val="24"/>
          <w:szCs w:val="24"/>
          <w:highlight w:val="none"/>
          <w:lang w:eastAsia="zh-CN"/>
        </w:rPr>
        <w:t xml:space="preserve">合同履行期限（工期）</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40日历天</w:t>
      </w:r>
      <w:r>
        <w:rPr>
          <w:rFonts w:hint="eastAsia" w:ascii="宋体" w:hAnsi="宋体" w:eastAsia="宋体" w:cs="宋体"/>
          <w:b/>
          <w:bCs/>
          <w:color w:val="auto"/>
          <w:sz w:val="24"/>
          <w:szCs w:val="24"/>
          <w:highlight w:val="none"/>
          <w:lang w:eastAsia="zh-CN"/>
        </w:rPr>
        <w:t xml:space="preserve">；</w:t>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不</w:t>
      </w:r>
      <w:r>
        <w:rPr>
          <w:rFonts w:hint="eastAsia" w:ascii="宋体" w:hAnsi="宋体" w:eastAsia="宋体" w:cs="宋体"/>
          <w:color w:val="auto"/>
          <w:sz w:val="24"/>
          <w:szCs w:val="24"/>
          <w:highlight w:val="none"/>
        </w:rPr>
        <w:t xml:space="preserve">接受联合体</w:t>
      </w:r>
      <w:r>
        <w:rPr>
          <w:rFonts w:hint="eastAsia" w:ascii="宋体" w:hAnsi="宋体" w:eastAsia="宋体" w:cs="宋体"/>
          <w:color w:val="auto"/>
          <w:sz w:val="24"/>
          <w:szCs w:val="24"/>
          <w:highlight w:val="none"/>
          <w:lang w:eastAsia="zh-CN"/>
        </w:rPr>
        <w:t xml:space="preserve">参加磋商</w:t>
      </w:r>
      <w:r>
        <w:rPr>
          <w:rFonts w:hint="eastAsia" w:ascii="宋体" w:hAnsi="宋体" w:eastAsia="宋体" w:cs="宋体"/>
          <w:color w:val="auto"/>
          <w:sz w:val="24"/>
          <w:szCs w:val="24"/>
          <w:highlight w:val="none"/>
        </w:rPr>
        <w:t xml:space="preserve">。</w:t>
      </w:r>
      <w:r>
        <w:rPr>
          <w:color w:val="auto"/>
          <w:highlight w:val="none"/>
        </w:rPr>
      </w:r>
    </w:p>
    <w:p>
      <w:pPr>
        <w:ind w:right="0" w:firstLine="482"/>
        <w:jc w:val="both"/>
        <w:keepLines w:val="0"/>
        <w:keepNext w:val="0"/>
        <w:pageBreakBefore w:val="0"/>
        <w:spacing w:line="480" w:lineRule="exact"/>
        <w:widowControl w:val="off"/>
        <w:rPr>
          <w:rFonts w:hint="eastAsia" w:ascii="黑体" w:hAnsi="黑体" w:eastAsia="黑体" w:cs="黑体"/>
          <w:b/>
          <w:bCs w:val="0"/>
          <w:color w:val="auto"/>
          <w:sz w:val="24"/>
          <w:szCs w:val="24"/>
          <w:highlight w:val="none"/>
        </w:rPr>
        <w:outlineLvl w:val="9"/>
      </w:pPr>
      <w:r>
        <w:rPr>
          <w:color w:val="auto"/>
          <w:highlight w:val="none"/>
        </w:rPr>
      </w:r>
      <w:bookmarkStart w:id="14" w:name="_Toc28359090"/>
      <w:r>
        <w:rPr>
          <w:color w:val="auto"/>
          <w:highlight w:val="none"/>
        </w:rPr>
      </w:r>
      <w:bookmarkStart w:id="15" w:name="_Toc35393630"/>
      <w:r>
        <w:rPr>
          <w:color w:val="auto"/>
          <w:highlight w:val="none"/>
        </w:rPr>
      </w:r>
      <w:bookmarkStart w:id="16" w:name="_Toc35393799"/>
      <w:r>
        <w:rPr>
          <w:color w:val="auto"/>
          <w:highlight w:val="none"/>
        </w:rPr>
      </w:r>
      <w:bookmarkStart w:id="17" w:name="_Toc28359013"/>
      <w:r>
        <w:rPr>
          <w:rFonts w:hint="eastAsia" w:ascii="黑体" w:hAnsi="黑体" w:eastAsia="黑体" w:cs="黑体"/>
          <w:b/>
          <w:bCs w:val="0"/>
          <w:color w:val="auto"/>
          <w:sz w:val="24"/>
          <w:szCs w:val="24"/>
          <w:highlight w:val="none"/>
        </w:rPr>
        <w:t xml:space="preserve">二、申请人的资格要求</w:t>
      </w:r>
      <w:bookmarkEnd w:id="14"/>
      <w:r>
        <w:rPr>
          <w:color w:val="auto"/>
          <w:highlight w:val="none"/>
        </w:rPr>
      </w:r>
      <w:bookmarkEnd w:id="15"/>
      <w:r>
        <w:rPr>
          <w:color w:val="auto"/>
          <w:highlight w:val="none"/>
        </w:rPr>
      </w:r>
      <w:bookmarkEnd w:id="16"/>
      <w:r>
        <w:rPr>
          <w:color w:val="auto"/>
          <w:highlight w:val="none"/>
        </w:rPr>
      </w:r>
      <w:bookmarkEnd w:id="17"/>
      <w:r>
        <w:rPr>
          <w:color w:val="auto"/>
          <w:highlight w:val="none"/>
        </w:rPr>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rPr>
        <w:t xml:space="preserve">满足《中华人民共和国政府采购法》第二十二条规定，提供下列材料：</w:t>
      </w:r>
      <w:r>
        <w:rPr>
          <w:color w:val="auto"/>
          <w:highlight w:val="none"/>
        </w:rPr>
      </w:r>
    </w:p>
    <w:p>
      <w:pPr>
        <w:ind w:right="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法人或者其他组织的营业执照等证明文件，自然人的身份证明；</w:t>
      </w:r>
      <w:r>
        <w:rPr>
          <w:color w:val="auto"/>
          <w:highlight w:val="none"/>
        </w:rPr>
      </w:r>
    </w:p>
    <w:p>
      <w:pPr>
        <w:ind w:right="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上一年度的财务状况报告（成立不满一年无需提供）；</w:t>
      </w:r>
      <w:r>
        <w:rPr>
          <w:color w:val="auto"/>
          <w:highlight w:val="none"/>
        </w:rPr>
      </w:r>
    </w:p>
    <w:p>
      <w:pPr>
        <w:ind w:right="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依法缴纳税收和社会保障资金的相关材料（提供提交响应文件截止时间前</w:t>
      </w:r>
      <w:r>
        <w:rPr>
          <w:rFonts w:hint="eastAsia" w:ascii="宋体" w:hAnsi="宋体" w:cs="宋体"/>
          <w:color w:val="auto"/>
          <w:sz w:val="24"/>
          <w:szCs w:val="24"/>
          <w:highlight w:val="none"/>
          <w:lang w:val="en-US" w:eastAsia="zh-CN"/>
        </w:rPr>
        <w:t xml:space="preserve">三个月中</w:t>
      </w:r>
      <w:r>
        <w:rPr>
          <w:rFonts w:hint="eastAsia" w:ascii="宋体" w:hAnsi="宋体" w:eastAsia="宋体" w:cs="宋体"/>
          <w:color w:val="auto"/>
          <w:sz w:val="24"/>
          <w:szCs w:val="24"/>
          <w:highlight w:val="none"/>
          <w:lang w:val="en-US" w:eastAsia="zh-CN"/>
        </w:rPr>
        <w:t xml:space="preserve">至少一个月依法缴纳税收及缴纳社会保障资金的证明材料。供应商依法享受缓缴、免缴税收、社会保障资金的提供证明材料）；</w:t>
      </w:r>
      <w:r>
        <w:rPr>
          <w:color w:val="auto"/>
          <w:highlight w:val="none"/>
        </w:rPr>
      </w:r>
    </w:p>
    <w:p>
      <w:pPr>
        <w:ind w:firstLine="482"/>
        <w:pageBreakBefore w:val="0"/>
        <w:spacing w:line="48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注：根据连财购〔2023〕4号文件精神，第（2）、（3）项可以提供《财务状况报告及税收、社会保障资金缴纳情况承诺函》。</w:t>
      </w:r>
      <w:r>
        <w:rPr>
          <w:color w:val="auto"/>
          <w:highlight w:val="none"/>
        </w:rPr>
      </w:r>
    </w:p>
    <w:p>
      <w:pPr>
        <w:ind w:right="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具备履行合同所必需的设备和专业技术能力的声明及证明材料（见格式）；</w:t>
      </w:r>
      <w:r>
        <w:rPr>
          <w:color w:val="auto"/>
          <w:highlight w:val="none"/>
        </w:rPr>
      </w:r>
    </w:p>
    <w:p>
      <w:pPr>
        <w:ind w:right="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参加政府采购活动前三年内在经营活动中没有重大违法记录的书面声明（见格式）</w:t>
      </w:r>
      <w:r>
        <w:rPr>
          <w:rFonts w:hint="eastAsia" w:ascii="宋体" w:hAnsi="宋体" w:cs="宋体"/>
          <w:color w:val="auto"/>
          <w:sz w:val="24"/>
          <w:szCs w:val="24"/>
          <w:highlight w:val="none"/>
          <w:lang w:val="en-US" w:eastAsia="zh-CN"/>
        </w:rPr>
        <w:t xml:space="preserve">；</w:t>
      </w:r>
      <w:r>
        <w:rPr>
          <w:color w:val="auto"/>
          <w:highlight w:val="none"/>
        </w:rPr>
      </w:r>
    </w:p>
    <w:p>
      <w:pPr>
        <w:ind w:right="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法律、法规规定的其他条件。</w:t>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b/>
          <w:bCs/>
          <w:color w:val="auto"/>
          <w:sz w:val="24"/>
          <w:szCs w:val="24"/>
          <w:highlight w:val="none"/>
        </w:rPr>
        <w:outlineLvl w:val="9"/>
      </w:pPr>
      <w:r>
        <w:rPr>
          <w:rFonts w:hint="eastAsia" w:ascii="宋体" w:hAnsi="宋体" w:cs="宋体"/>
          <w:color w:val="auto"/>
          <w:sz w:val="24"/>
          <w:szCs w:val="24"/>
          <w:highlight w:val="none"/>
          <w:lang w:val="en-US" w:eastAsia="zh-CN"/>
        </w:rPr>
        <w:t xml:space="preserve">（二）</w:t>
      </w:r>
      <w:r>
        <w:rPr>
          <w:rFonts w:hint="eastAsia" w:asciiTheme="minorEastAsia" w:hAnsiTheme="minorEastAsia" w:eastAsiaTheme="minorEastAsia" w:cstheme="minorEastAsia"/>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企业声明函》或《残疾人福利性单位声明函》或属于监狱企业的证明文件，否则投标无效）。</w:t>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本项目的特定资格要求：</w:t>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color w:val="auto"/>
          <w:highlight w:val="none"/>
        </w:rPr>
      </w:r>
      <w:bookmarkStart w:id="18" w:name="_Toc28359014"/>
      <w:r>
        <w:rPr>
          <w:color w:val="auto"/>
          <w:highlight w:val="none"/>
        </w:rPr>
      </w:r>
      <w:bookmarkStart w:id="19" w:name="_Toc28359091"/>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供应商须具备建设行政主管部门核发的</w:t>
      </w:r>
      <w:r>
        <w:rPr>
          <w:rFonts w:hint="eastAsia" w:ascii="宋体" w:hAnsi="宋体" w:eastAsia="宋体" w:cs="宋体"/>
          <w:b/>
          <w:bCs w:val="0"/>
          <w:color w:val="auto"/>
          <w:sz w:val="24"/>
          <w:highlight w:val="none"/>
        </w:rPr>
        <w:t xml:space="preserve">电力工程施工总承包叁级及以上资质或输变电工程专业承包叁级及以上资质（有效的），且具有建设主管部门颁发的安全生产许可证（有效的），同时具备承装（修、试类）五级及以上电力设施许可证（在有效期内）</w:t>
      </w:r>
      <w:r>
        <w:rPr>
          <w:rFonts w:hint="eastAsia" w:ascii="宋体" w:hAnsi="宋体" w:eastAsia="宋体" w:cs="宋体"/>
          <w:bCs/>
          <w:color w:val="auto"/>
          <w:sz w:val="24"/>
          <w:highlight w:val="none"/>
        </w:rPr>
        <w:t xml:space="preserve">；</w:t>
      </w:r>
      <w:r>
        <w:rPr>
          <w:color w:val="auto"/>
          <w:highlight w:val="none"/>
        </w:rP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拟派项目负责人须</w:t>
      </w:r>
      <w:r>
        <w:rPr>
          <w:rFonts w:hint="eastAsia" w:ascii="宋体" w:hAnsi="宋体" w:eastAsia="宋体" w:cs="宋体"/>
          <w:color w:val="auto"/>
          <w:sz w:val="24"/>
          <w:szCs w:val="24"/>
          <w:highlight w:val="none"/>
          <w:lang w:val="en-US" w:eastAsia="zh-CN"/>
        </w:rPr>
        <w:t xml:space="preserve">具备建设行政主管部门核发</w:t>
      </w:r>
      <w:r>
        <w:rPr>
          <w:rFonts w:hint="eastAsia" w:ascii="宋体" w:hAnsi="宋体" w:eastAsia="宋体" w:cs="宋体"/>
          <w:b/>
          <w:bCs w:val="0"/>
          <w:color w:val="auto"/>
          <w:sz w:val="24"/>
          <w:highlight w:val="none"/>
        </w:rPr>
        <w:t xml:space="preserve">机电工程专业贰级及以上注册建造师资格（有效的），并具有安全生产考核合格证书（B类）（在有效期内）</w:t>
      </w:r>
      <w:r>
        <w:rPr>
          <w:rFonts w:hint="eastAsia" w:ascii="宋体" w:hAnsi="宋体" w:eastAsia="宋体" w:cs="宋体"/>
          <w:b/>
          <w:bCs/>
          <w:color w:val="auto"/>
          <w:sz w:val="24"/>
          <w:szCs w:val="24"/>
          <w:highlight w:val="none"/>
          <w:lang w:val="en-US" w:eastAsia="zh-CN"/>
        </w:rPr>
        <w:t xml:space="preserve">；</w:t>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拟派项目负责人必须为供应商的员工，提供</w:t>
      </w:r>
      <w:r>
        <w:rPr>
          <w:rFonts w:hint="eastAsia" w:ascii="宋体" w:hAnsi="宋体" w:eastAsia="宋体" w:cs="宋体"/>
          <w:b/>
          <w:bCs/>
          <w:color w:val="auto"/>
          <w:sz w:val="24"/>
          <w:szCs w:val="24"/>
          <w:highlight w:val="none"/>
          <w:lang w:val="en-US" w:eastAsia="zh-CN"/>
        </w:rPr>
        <w:t xml:space="preserve">提交响应文件截止时间前</w:t>
      </w:r>
      <w:r>
        <w:rPr>
          <w:rFonts w:hint="eastAsia" w:ascii="宋体" w:hAnsi="宋体" w:cs="宋体"/>
          <w:b/>
          <w:bCs/>
          <w:color w:val="auto"/>
          <w:sz w:val="24"/>
          <w:szCs w:val="24"/>
          <w:highlight w:val="none"/>
          <w:lang w:val="en-US" w:eastAsia="zh-CN"/>
        </w:rPr>
        <w:t xml:space="preserve">三个月中</w:t>
      </w:r>
      <w:r>
        <w:rPr>
          <w:rFonts w:hint="eastAsia" w:ascii="宋体" w:hAnsi="宋体" w:eastAsia="宋体" w:cs="宋体"/>
          <w:b/>
          <w:bCs/>
          <w:color w:val="auto"/>
          <w:sz w:val="24"/>
          <w:szCs w:val="24"/>
          <w:highlight w:val="none"/>
          <w:lang w:val="en-US" w:eastAsia="zh-CN"/>
        </w:rPr>
        <w:t xml:space="preserve">至少一个月</w:t>
      </w:r>
      <w:r>
        <w:rPr>
          <w:rFonts w:hint="eastAsia" w:ascii="宋体" w:hAnsi="宋体" w:eastAsia="宋体" w:cs="宋体"/>
          <w:color w:val="auto"/>
          <w:sz w:val="24"/>
          <w:szCs w:val="24"/>
          <w:highlight w:val="none"/>
          <w:lang w:val="en-US" w:eastAsia="zh-CN"/>
        </w:rPr>
        <w:t xml:space="preserve">由供应商为其缴纳的社保缴纳证明（加盖社保中心章或社保中心参保缴费证明电子专用章）</w:t>
      </w:r>
      <w:r>
        <w:rPr>
          <w:rFonts w:hint="eastAsia" w:ascii="宋体" w:hAnsi="宋体" w:eastAsia="宋体" w:cs="宋体"/>
          <w:b w:val="0"/>
          <w:bCs w:val="0"/>
          <w:color w:val="auto"/>
          <w:sz w:val="24"/>
          <w:szCs w:val="24"/>
          <w:highlight w:val="none"/>
          <w:lang w:val="en-US" w:eastAsia="zh-CN"/>
        </w:rPr>
        <w:t xml:space="preserve">；</w:t>
      </w:r>
      <w:r>
        <w:rPr>
          <w:color w:val="auto"/>
          <w:highlight w:val="none"/>
        </w:rPr>
      </w:r>
    </w:p>
    <w:p>
      <w:pPr>
        <w:ind w:right="0" w:firstLine="480"/>
        <w:jc w:val="both"/>
        <w:keepLines w:val="0"/>
        <w:keepNext w:val="0"/>
        <w:pageBreakBefore w:val="0"/>
        <w:spacing w:line="480" w:lineRule="exact"/>
        <w:widowControl w:val="off"/>
        <w:rPr>
          <w:rFonts w:hint="eastAsia"/>
          <w:color w:val="auto"/>
          <w:sz w:val="24"/>
          <w:szCs w:val="24"/>
          <w:highlight w:val="none"/>
        </w:rPr>
        <w:outlineLvl w:val="9"/>
      </w:pPr>
      <w:r>
        <w:rPr>
          <w:rFonts w:hint="eastAsia"/>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color w:val="auto"/>
          <w:sz w:val="24"/>
          <w:szCs w:val="24"/>
          <w:highlight w:val="none"/>
          <w:lang w:eastAsia="zh-CN"/>
        </w:rPr>
        <w:t xml:space="preserve">拟派项目负责人是非变更后无在建工程，或是变更后无在建工程（必须原合同工期已满且变更备案之日已满 6 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拟派项目负责人不得在其他项目中担任项目经理、项目技术负责人、施工员、安全员、质量员）；（见格式“供应商承诺书”） </w:t>
      </w:r>
      <w:r>
        <w:rPr>
          <w:color w:val="auto"/>
          <w:highlight w:val="none"/>
        </w:rPr>
      </w:r>
    </w:p>
    <w:p>
      <w:pPr>
        <w:ind w:firstLine="482"/>
        <w:pageBreakBefore w:val="0"/>
        <w:spacing w:line="480" w:lineRule="exact"/>
        <w:widowControl w:val="off"/>
        <w:rPr>
          <w:rFonts w:hint="eastAsia"/>
          <w:b/>
          <w:bCs/>
          <w:color w:val="auto"/>
          <w:sz w:val="24"/>
          <w:szCs w:val="24"/>
          <w:highlight w:val="none"/>
        </w:rPr>
      </w:pPr>
      <w:r>
        <w:rPr>
          <w:rFonts w:hint="eastAsia"/>
          <w:b/>
          <w:bCs/>
          <w:color w:val="auto"/>
          <w:sz w:val="24"/>
          <w:szCs w:val="24"/>
          <w:highlight w:val="none"/>
          <w:lang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color w:val="auto"/>
          <w:highlight w:val="none"/>
        </w:rPr>
      </w:r>
    </w:p>
    <w:p>
      <w:pPr>
        <w:ind w:firstLine="482"/>
        <w:pageBreakBefore w:val="0"/>
        <w:spacing w:line="480" w:lineRule="exact"/>
        <w:widowControl w:val="off"/>
        <w:rPr>
          <w:rFonts w:hint="default"/>
          <w:b w:val="0"/>
          <w:bCs w:val="0"/>
          <w:color w:val="auto"/>
          <w:sz w:val="24"/>
          <w:szCs w:val="24"/>
          <w:highlight w:val="none"/>
        </w:rPr>
      </w:pPr>
      <w:r>
        <w:rPr>
          <w:rFonts w:hint="eastAsia"/>
          <w:b w:val="0"/>
          <w:bCs w:val="0"/>
          <w:color w:val="auto"/>
          <w:sz w:val="24"/>
          <w:szCs w:val="24"/>
          <w:highlight w:val="none"/>
          <w:lang w:val="en-US" w:eastAsia="zh-CN"/>
        </w:rPr>
        <w:t xml:space="preserve">5.若投标单位法定代表人参与投标，则仅需提供法定代表人身份证;若授权代理人参与投标，则需提供企业法人委托书、授权人身份证、被授权人身份证。</w:t>
      </w:r>
      <w:r>
        <w:rPr>
          <w:b w:val="0"/>
          <w:bCs w:val="0"/>
          <w:color w:val="auto"/>
          <w:highlight w:val="none"/>
        </w:rP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本项目执行江苏省住房和城乡建设厅《关于开展建筑业企业资质动态监管工作的公告》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江苏省住房和城乡建设厅公告</w:t>
      </w:r>
      <w:r>
        <w:rPr>
          <w:rFonts w:hint="eastAsia" w:ascii="宋体" w:hAnsi="宋体" w:cs="宋体"/>
          <w:color w:val="auto"/>
          <w:sz w:val="24"/>
          <w:szCs w:val="24"/>
          <w:highlight w:val="none"/>
          <w:lang w:eastAsia="zh-CN"/>
        </w:rPr>
        <w:t xml:space="preserve">〔2018〕6号</w:t>
      </w:r>
      <w:r>
        <w:rPr>
          <w:rFonts w:hint="eastAsia" w:ascii="宋体" w:hAnsi="宋体" w:eastAsia="宋体" w:cs="宋体"/>
          <w:color w:val="auto"/>
          <w:sz w:val="24"/>
          <w:szCs w:val="24"/>
          <w:highlight w:val="none"/>
        </w:rPr>
        <w:t xml:space="preserve">、连建发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182号文，关于企业资质动态核查，由供应商在响应文件中作出</w:t>
      </w:r>
      <w:r>
        <w:rPr>
          <w:rFonts w:hint="eastAsia" w:ascii="宋体" w:hAnsi="宋体" w:eastAsia="宋体" w:cs="宋体"/>
          <w:b/>
          <w:bCs/>
          <w:color w:val="auto"/>
          <w:sz w:val="24"/>
          <w:szCs w:val="24"/>
          <w:highlight w:val="none"/>
        </w:rPr>
        <w:t xml:space="preserve">书面承诺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见格式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若响应有效期内企业资质核查不合格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将主动放弃成交资格。</w:t>
      </w:r>
      <w:r>
        <w:rPr>
          <w:color w:val="auto"/>
          <w:highlight w:val="none"/>
        </w:rPr>
      </w:r>
    </w:p>
    <w:p>
      <w:pPr>
        <w:numPr>
          <w:ilvl w:val="0"/>
          <w:numId w:val="0"/>
        </w:num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磋商供应商及项目负责人无不良行为</w:t>
      </w:r>
      <w:r>
        <w:rPr>
          <w:rFonts w:hint="eastAsia" w:ascii="宋体" w:hAnsi="宋体" w:eastAsia="宋体" w:cs="宋体"/>
          <w:b/>
          <w:bCs/>
          <w:color w:val="auto"/>
          <w:sz w:val="24"/>
          <w:szCs w:val="24"/>
          <w:highlight w:val="none"/>
          <w:lang w:val="en-US" w:eastAsia="zh-CN"/>
        </w:rPr>
        <w:t xml:space="preserve">承诺</w:t>
      </w:r>
      <w:r>
        <w:rPr>
          <w:rFonts w:hint="eastAsia" w:ascii="宋体" w:hAnsi="宋体" w:eastAsia="宋体" w:cs="宋体"/>
          <w:color w:val="auto"/>
          <w:sz w:val="24"/>
          <w:szCs w:val="24"/>
          <w:highlight w:val="none"/>
          <w:lang w:val="en-US" w:eastAsia="zh-CN"/>
        </w:rPr>
        <w:t xml:space="preserve">（见</w:t>
      </w:r>
      <w:r>
        <w:rPr>
          <w:rFonts w:hint="eastAsia"/>
          <w:color w:val="auto"/>
          <w:sz w:val="24"/>
          <w:szCs w:val="24"/>
          <w:highlight w:val="none"/>
          <w:lang w:eastAsia="zh-CN"/>
        </w:rPr>
        <w:t xml:space="preserve">供应商承诺书</w:t>
      </w:r>
      <w:r>
        <w:rPr>
          <w:rFonts w:hint="eastAsia" w:ascii="宋体" w:hAnsi="宋体" w:eastAsia="宋体" w:cs="宋体"/>
          <w:color w:val="auto"/>
          <w:sz w:val="24"/>
          <w:szCs w:val="24"/>
          <w:highlight w:val="none"/>
          <w:lang w:val="en-US" w:eastAsia="zh-CN"/>
        </w:rPr>
        <w:t xml:space="preserve">）；</w:t>
      </w:r>
      <w:r>
        <w:rPr>
          <w:color w:val="auto"/>
          <w:highlight w:val="none"/>
        </w:rP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响应文件递交截止前，被信用中国、中国政府采购网列入失信被执行人、重大税收违法案件当事人名单、政府采购严重违法失信行为记录名单的供应商，拒绝其参与政府采购活动；</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对信用记录情况自行查询证明，查询结果页面上传至</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文件中。评标时以评委现场实时查询为准。</w:t>
      </w:r>
      <w:r>
        <w:rPr>
          <w:color w:val="auto"/>
          <w:highlight w:val="none"/>
        </w:rP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ind w:right="0" w:firstLine="480"/>
        <w:jc w:val="both"/>
        <w:keepLines w:val="0"/>
        <w:keepNext w:val="0"/>
        <w:pageBreakBefore w:val="0"/>
        <w:spacing w:line="480" w:lineRule="exact"/>
        <w:widowControl w:val="off"/>
        <w:rPr>
          <w:rFonts w:hint="eastAsia" w:asciiTheme="minorEastAsia" w:hAnsiTheme="minorEastAsia" w:eastAsiaTheme="minorEastAsia" w:cstheme="minorEastAsia"/>
          <w:color w:val="auto"/>
          <w:sz w:val="24"/>
          <w:szCs w:val="24"/>
          <w:highlight w:val="none"/>
        </w:rPr>
        <w:outlineLvl w:val="9"/>
      </w:pPr>
      <w:r>
        <w:rPr>
          <w:rFonts w:hint="eastAsia"/>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color w:val="auto"/>
          <w:sz w:val="24"/>
          <w:szCs w:val="24"/>
          <w:highlight w:val="none"/>
          <w:lang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color w:val="auto"/>
          <w:highlight w:val="none"/>
        </w:rPr>
      </w:r>
    </w:p>
    <w:p>
      <w:pPr>
        <w:ind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后不允许分包或转包</w:t>
      </w:r>
      <w:r>
        <w:rPr>
          <w:rFonts w:hint="eastAsia" w:ascii="宋体" w:hAnsi="宋体" w:cs="宋体"/>
          <w:color w:val="auto"/>
          <w:sz w:val="24"/>
          <w:szCs w:val="24"/>
          <w:highlight w:val="none"/>
          <w:lang w:eastAsia="zh-CN"/>
        </w:rPr>
        <w:t xml:space="preserve">。</w:t>
      </w:r>
      <w:bookmarkEnd w:id="18"/>
      <w:r>
        <w:rPr>
          <w:color w:val="auto"/>
        </w:rPr>
      </w:r>
      <w:bookmarkEnd w:id="19"/>
      <w:r>
        <w:rPr>
          <w:color w:val="auto"/>
        </w:rPr>
      </w:r>
      <w:r>
        <w:rPr>
          <w:color w:val="auto"/>
          <w:highlight w:val="none"/>
        </w:rPr>
      </w:r>
    </w:p>
    <w:p>
      <w:pPr>
        <w:ind w:right="0" w:firstLine="482"/>
        <w:jc w:val="both"/>
        <w:keepLines w:val="0"/>
        <w:keepNext w:val="0"/>
        <w:pageBreakBefore w:val="0"/>
        <w:spacing w:line="480" w:lineRule="exact"/>
        <w:widowControl w:val="off"/>
        <w:rPr>
          <w:rFonts w:hint="eastAsia" w:ascii="黑体" w:hAnsi="黑体" w:eastAsia="黑体" w:cs="黑体"/>
          <w:b/>
          <w:bCs w:val="0"/>
          <w:color w:val="auto"/>
          <w:sz w:val="24"/>
          <w:szCs w:val="24"/>
          <w:highlight w:val="none"/>
        </w:rPr>
        <w:outlineLvl w:val="9"/>
      </w:pPr>
      <w:r>
        <w:rPr>
          <w:color w:val="auto"/>
          <w:highlight w:val="none"/>
        </w:rPr>
      </w:r>
      <w:bookmarkStart w:id="20" w:name="_Toc35393800"/>
      <w:r>
        <w:rPr>
          <w:color w:val="auto"/>
          <w:highlight w:val="none"/>
        </w:rPr>
      </w:r>
      <w:bookmarkStart w:id="21" w:name="_Toc35393631"/>
      <w:r>
        <w:rPr>
          <w:color w:val="auto"/>
          <w:highlight w:val="none"/>
        </w:rPr>
      </w:r>
      <w:bookmarkStart w:id="22" w:name="_Toc28359095"/>
      <w:r>
        <w:rPr>
          <w:color w:val="auto"/>
          <w:highlight w:val="none"/>
        </w:rPr>
      </w:r>
      <w:bookmarkStart w:id="23" w:name="_Toc35393805"/>
      <w:r>
        <w:rPr>
          <w:color w:val="auto"/>
          <w:highlight w:val="none"/>
        </w:rPr>
      </w:r>
      <w:bookmarkStart w:id="24" w:name="_Toc35393636"/>
      <w:r>
        <w:rPr>
          <w:color w:val="auto"/>
          <w:highlight w:val="none"/>
        </w:rPr>
      </w:r>
      <w:bookmarkStart w:id="25" w:name="_Toc28359018"/>
      <w:r>
        <w:rPr>
          <w:rFonts w:hint="eastAsia" w:ascii="黑体" w:hAnsi="黑体" w:eastAsia="黑体" w:cs="黑体"/>
          <w:b/>
          <w:bCs w:val="0"/>
          <w:color w:val="auto"/>
          <w:sz w:val="24"/>
          <w:szCs w:val="24"/>
          <w:highlight w:val="none"/>
        </w:rPr>
        <w:t xml:space="preserve">三、获取</w:t>
      </w:r>
      <w:r>
        <w:rPr>
          <w:rFonts w:hint="eastAsia" w:ascii="黑体" w:hAnsi="黑体" w:eastAsia="黑体" w:cs="黑体"/>
          <w:b/>
          <w:bCs w:val="0"/>
          <w:color w:val="auto"/>
          <w:sz w:val="24"/>
          <w:szCs w:val="24"/>
          <w:highlight w:val="none"/>
          <w:lang w:eastAsia="zh-CN"/>
        </w:rPr>
        <w:t xml:space="preserve">竞争性磋商</w:t>
      </w:r>
      <w:r>
        <w:rPr>
          <w:rFonts w:hint="eastAsia" w:ascii="黑体" w:hAnsi="黑体" w:eastAsia="黑体" w:cs="黑体"/>
          <w:b/>
          <w:bCs w:val="0"/>
          <w:color w:val="auto"/>
          <w:sz w:val="24"/>
          <w:szCs w:val="24"/>
          <w:highlight w:val="none"/>
        </w:rPr>
        <w:t xml:space="preserve">文件</w:t>
      </w:r>
      <w:bookmarkEnd w:id="20"/>
      <w:r>
        <w:rPr>
          <w:color w:val="auto"/>
          <w:highlight w:val="none"/>
        </w:rPr>
      </w:r>
      <w:bookmarkEnd w:id="21"/>
      <w:r>
        <w:rPr>
          <w:color w:val="auto"/>
          <w:highlight w:val="none"/>
        </w:rPr>
      </w:r>
      <w:r>
        <w:rPr>
          <w:color w:val="auto"/>
          <w:highlight w:val="none"/>
        </w:rP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color w:val="auto"/>
          <w:highlight w:val="none"/>
        </w:rPr>
      </w:r>
      <w:bookmarkStart w:id="26" w:name="_Toc28359092"/>
      <w:r>
        <w:rPr>
          <w:color w:val="auto"/>
          <w:highlight w:val="none"/>
        </w:rPr>
      </w:r>
      <w:bookmarkStart w:id="27" w:name="_Toc35393801"/>
      <w:r>
        <w:rPr>
          <w:color w:val="auto"/>
          <w:highlight w:val="none"/>
        </w:rPr>
      </w:r>
      <w:bookmarkStart w:id="28" w:name="_Toc35393632"/>
      <w:r>
        <w:rPr>
          <w:color w:val="auto"/>
          <w:highlight w:val="none"/>
        </w:rPr>
      </w:r>
      <w:bookmarkStart w:id="29" w:name="_Toc28359015"/>
      <w:r>
        <w:rPr>
          <w:rFonts w:hint="eastAsia" w:ascii="宋体" w:hAnsi="宋体" w:eastAsia="宋体" w:cs="宋体"/>
          <w:color w:val="auto"/>
          <w:sz w:val="24"/>
          <w:szCs w:val="24"/>
          <w:highlight w:val="none"/>
        </w:rPr>
        <w:t xml:space="preserve">时间：自磋商文件公告发布之日起5个工作日；</w:t>
      </w:r>
      <w:r>
        <w:rPr>
          <w:color w:val="auto"/>
          <w:highlight w:val="none"/>
        </w:rPr>
      </w:r>
    </w:p>
    <w:p>
      <w:pPr>
        <w:numPr>
          <w:ilvl w:val="0"/>
          <w:numId w:val="0"/>
        </w:numPr>
        <w:ind w:firstLine="480"/>
        <w:jc w:val="left"/>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地点：</w:t>
      </w:r>
      <w:r>
        <w:rPr>
          <w:rFonts w:hint="eastAsia" w:ascii="宋体" w:hAnsi="宋体" w:eastAsia="宋体" w:cs="宋体"/>
          <w:color w:val="auto"/>
          <w:sz w:val="24"/>
          <w:szCs w:val="24"/>
          <w:highlight w:val="none"/>
        </w:rPr>
        <w:t xml:space="preserve">“江苏政府采购网”</w:t>
      </w:r>
      <w:r>
        <w:rPr>
          <w:rFonts w:hint="eastAsia" w:ascii="宋体" w:hAnsi="宋体" w:cs="宋体"/>
          <w:color w:val="auto"/>
          <w:sz w:val="24"/>
          <w:szCs w:val="24"/>
          <w:highlight w:val="none"/>
          <w:lang w:eastAsia="zh-CN"/>
        </w:rPr>
        <w:t xml:space="preserve">；</w:t>
      </w:r>
      <w:r>
        <w:rPr>
          <w:color w:val="auto"/>
          <w:highlight w:val="none"/>
        </w:rPr>
      </w:r>
    </w:p>
    <w:p>
      <w:pPr>
        <w:numPr>
          <w:ilvl w:val="0"/>
          <w:numId w:val="0"/>
        </w:numPr>
        <w:ind w:firstLine="480"/>
        <w:jc w:val="left"/>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方式：</w:t>
      </w:r>
      <w:r>
        <w:rPr>
          <w:rFonts w:hint="eastAsia" w:ascii="宋体" w:hAnsi="宋体" w:eastAsia="宋体" w:cs="宋体"/>
          <w:color w:val="auto"/>
          <w:sz w:val="24"/>
          <w:szCs w:val="24"/>
          <w:highlight w:val="none"/>
        </w:rPr>
        <w:t xml:space="preserve">自行免费下载磋商文件</w:t>
      </w:r>
      <w:r>
        <w:rPr>
          <w:rFonts w:hint="eastAsia" w:ascii="宋体" w:hAnsi="宋体" w:cs="宋体"/>
          <w:color w:val="auto"/>
          <w:sz w:val="24"/>
          <w:highlight w:val="none"/>
          <w:lang w:val="en-US" w:eastAsia="zh-CN"/>
        </w:rPr>
        <w:t xml:space="preserve">；</w:t>
      </w:r>
      <w:r>
        <w:rPr>
          <w:color w:val="auto"/>
          <w:highlight w:val="none"/>
        </w:rPr>
      </w:r>
    </w:p>
    <w:p>
      <w:pPr>
        <w:ind w:firstLine="480"/>
        <w:jc w:val="left"/>
        <w:pageBreakBefore w:val="0"/>
        <w:spacing w:line="480" w:lineRule="exact"/>
        <w:widowControl w:val="off"/>
        <w:rPr>
          <w:rFonts w:hint="eastAsia" w:ascii="宋体" w:hAnsi="宋体" w:eastAsia="宋体" w:cs="宋体"/>
          <w:color w:val="auto"/>
          <w:sz w:val="24"/>
          <w:highlight w:val="none"/>
        </w:rPr>
      </w:pPr>
      <w:r>
        <w:rPr>
          <w:rFonts w:hint="eastAsia" w:ascii="宋体" w:hAnsi="宋体" w:cs="宋体"/>
          <w:color w:val="auto"/>
          <w:sz w:val="24"/>
          <w:highlight w:val="none"/>
        </w:rPr>
        <w:t xml:space="preserve">售价：人民币</w:t>
      </w:r>
      <w:r>
        <w:rPr>
          <w:rFonts w:hint="eastAsia" w:ascii="宋体" w:hAnsi="宋体" w:cs="宋体"/>
          <w:color w:val="auto"/>
          <w:sz w:val="24"/>
          <w:highlight w:val="none"/>
          <w:lang w:val="en-US" w:eastAsia="zh-CN"/>
        </w:rPr>
        <w:t xml:space="preserve">0.00</w:t>
      </w:r>
      <w:r>
        <w:rPr>
          <w:rFonts w:hint="eastAsia" w:ascii="宋体" w:hAnsi="宋体" w:cs="宋体"/>
          <w:color w:val="auto"/>
          <w:sz w:val="24"/>
          <w:highlight w:val="none"/>
        </w:rPr>
        <w:t xml:space="preserve">元</w:t>
      </w:r>
      <w:r>
        <w:rPr>
          <w:rFonts w:hint="eastAsia" w:ascii="宋体" w:hAnsi="宋体" w:cs="宋体"/>
          <w:color w:val="auto"/>
          <w:sz w:val="24"/>
          <w:highlight w:val="none"/>
          <w:lang w:eastAsia="zh-CN"/>
        </w:rPr>
        <w:t xml:space="preserve">。</w:t>
      </w:r>
      <w:r>
        <w:rPr>
          <w:color w:val="auto"/>
          <w:highlight w:val="none"/>
        </w:rPr>
      </w:r>
    </w:p>
    <w:p>
      <w:pPr>
        <w:pStyle w:val="754"/>
        <w:ind w:right="0"/>
        <w:jc w:val="both"/>
        <w:keepLines w:val="0"/>
        <w:keepNext w:val="0"/>
        <w:pageBreakBefore w:val="0"/>
        <w:spacing w:line="480" w:lineRule="exact"/>
        <w:widowControl w:val="off"/>
        <w:rPr>
          <w:rFonts w:hint="eastAsia" w:ascii="黑体" w:hAnsi="黑体" w:eastAsia="黑体" w:cs="黑体"/>
          <w:b/>
          <w:bCs w:val="0"/>
          <w:color w:val="auto"/>
          <w:sz w:val="24"/>
          <w:szCs w:val="24"/>
          <w:highlight w:val="none"/>
        </w:rPr>
        <w:outlineLvl w:val="9"/>
      </w:pPr>
      <w:r>
        <w:rPr>
          <w:rFonts w:hint="eastAsia" w:ascii="黑体" w:hAnsi="黑体" w:eastAsia="黑体" w:cs="黑体"/>
          <w:b/>
          <w:bCs w:val="0"/>
          <w:color w:val="auto"/>
          <w:sz w:val="24"/>
          <w:szCs w:val="24"/>
          <w:highlight w:val="none"/>
        </w:rPr>
        <w:t xml:space="preserve">四、</w:t>
      </w:r>
      <w:bookmarkEnd w:id="26"/>
      <w:r>
        <w:rPr>
          <w:color w:val="auto"/>
          <w:highlight w:val="none"/>
        </w:rPr>
      </w:r>
      <w:bookmarkEnd w:id="27"/>
      <w:r>
        <w:rPr>
          <w:color w:val="auto"/>
          <w:highlight w:val="none"/>
        </w:rPr>
      </w:r>
      <w:bookmarkEnd w:id="28"/>
      <w:r>
        <w:rPr>
          <w:color w:val="auto"/>
          <w:highlight w:val="none"/>
        </w:rPr>
      </w:r>
      <w:bookmarkEnd w:id="29"/>
      <w:r>
        <w:rPr>
          <w:rFonts w:hint="eastAsia" w:ascii="黑体" w:hAnsi="黑体" w:eastAsia="黑体" w:cs="黑体"/>
          <w:b/>
          <w:bCs w:val="0"/>
          <w:color w:val="auto"/>
          <w:sz w:val="24"/>
          <w:szCs w:val="24"/>
          <w:highlight w:val="none"/>
          <w:lang w:val="en-US" w:eastAsia="zh-CN"/>
        </w:rPr>
        <w:t xml:space="preserve">响应</w:t>
      </w:r>
      <w:r>
        <w:rPr>
          <w:rFonts w:hint="eastAsia" w:ascii="黑体" w:hAnsi="黑体" w:eastAsia="黑体" w:cs="黑体"/>
          <w:b/>
          <w:bCs w:val="0"/>
          <w:color w:val="auto"/>
          <w:sz w:val="24"/>
          <w:szCs w:val="24"/>
          <w:highlight w:val="none"/>
          <w:lang w:val="en-US" w:eastAsia="zh-CN" w:bidi="ar-SA"/>
        </w:rPr>
        <w:t xml:space="preserve">文件的提交</w:t>
      </w:r>
      <w:r>
        <w:rPr>
          <w:color w:val="auto"/>
          <w:highlight w:val="none"/>
        </w:rPr>
      </w:r>
    </w:p>
    <w:p>
      <w:pPr>
        <w:ind w:firstLine="480"/>
        <w:pageBreakBefore w:val="0"/>
        <w:spacing w:line="480" w:lineRule="exact"/>
        <w:shd w:val="clear" w:color="auto"/>
        <w:widowControl w:val="off"/>
        <w:rPr>
          <w:rFonts w:hint="eastAsia" w:ascii="宋体" w:hAnsi="宋体" w:cs="宋体"/>
          <w:b w:val="0"/>
          <w:color w:val="auto"/>
          <w:sz w:val="24"/>
          <w:szCs w:val="24"/>
          <w:highlight w:val="none"/>
        </w:rPr>
      </w:pPr>
      <w:r>
        <w:rPr>
          <w:color w:val="auto"/>
          <w:highlight w:val="none"/>
        </w:rPr>
      </w:r>
      <w:bookmarkStart w:id="30" w:name="_Toc20177"/>
      <w:r>
        <w:rPr>
          <w:color w:val="auto"/>
          <w:highlight w:val="none"/>
        </w:rPr>
      </w:r>
      <w:bookmarkStart w:id="31" w:name="_Toc28359017"/>
      <w:r>
        <w:rPr>
          <w:color w:val="auto"/>
          <w:highlight w:val="none"/>
        </w:rPr>
      </w:r>
      <w:bookmarkStart w:id="32" w:name="_Toc28359094"/>
      <w:r>
        <w:rPr>
          <w:color w:val="auto"/>
          <w:highlight w:val="none"/>
        </w:rPr>
      </w:r>
      <w:bookmarkStart w:id="33" w:name="_Toc35393634"/>
      <w:r>
        <w:rPr>
          <w:color w:val="auto"/>
          <w:highlight w:val="none"/>
        </w:rPr>
      </w:r>
      <w:bookmarkStart w:id="34" w:name="_Toc35393803"/>
      <w:r>
        <w:rPr>
          <w:rFonts w:hint="eastAsia" w:ascii="宋体" w:hAnsi="宋体" w:cs="宋体"/>
          <w:color w:val="auto"/>
          <w:sz w:val="24"/>
          <w:highlight w:val="none"/>
        </w:rPr>
        <w:t xml:space="preserve">截止时间：</w:t>
      </w:r>
      <w:r>
        <w:rPr>
          <w:rFonts w:hint="eastAsia" w:ascii="宋体" w:hAnsi="宋体" w:eastAsia="宋体" w:cs="宋体"/>
          <w:b w:val="0"/>
          <w:color w:val="auto"/>
          <w:sz w:val="24"/>
          <w:szCs w:val="24"/>
          <w:highlight w:val="none"/>
        </w:rPr>
        <w:t xml:space="preserve">202</w:t>
      </w:r>
      <w:r>
        <w:rPr>
          <w:rFonts w:hint="eastAsia" w:ascii="宋体" w:hAnsi="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年</w:t>
      </w:r>
      <w:r>
        <w:rPr>
          <w:rFonts w:hint="eastAsia" w:ascii="宋体" w:hAnsi="宋体" w:cs="宋体"/>
          <w:b w:val="0"/>
          <w:color w:val="auto"/>
          <w:sz w:val="24"/>
          <w:szCs w:val="24"/>
          <w:highlight w:val="none"/>
          <w:lang w:val="en-US" w:eastAsia="zh-CN"/>
        </w:rPr>
        <w:t xml:space="preserve">12</w:t>
      </w:r>
      <w:r>
        <w:rPr>
          <w:rFonts w:hint="eastAsia" w:ascii="宋体" w:hAnsi="宋体" w:eastAsia="宋体" w:cs="宋体"/>
          <w:b w:val="0"/>
          <w:color w:val="auto"/>
          <w:sz w:val="24"/>
          <w:szCs w:val="24"/>
          <w:highlight w:val="none"/>
        </w:rPr>
        <w:t xml:space="preserve">月</w:t>
      </w:r>
      <w:r>
        <w:rPr>
          <w:rFonts w:hint="eastAsia" w:ascii="宋体" w:hAnsi="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日</w:t>
      </w:r>
      <w:r>
        <w:rPr>
          <w:rFonts w:hint="eastAsia" w:ascii="宋体" w:hAnsi="宋体" w:cs="宋体"/>
          <w:b w:val="0"/>
          <w:color w:val="auto"/>
          <w:sz w:val="24"/>
          <w:szCs w:val="24"/>
          <w:highlight w:val="none"/>
          <w:lang w:val="en-US" w:eastAsia="zh-CN"/>
        </w:rPr>
        <w:t xml:space="preserve">09</w:t>
      </w:r>
      <w:r>
        <w:rPr>
          <w:rFonts w:hint="eastAsia" w:ascii="宋体" w:hAnsi="宋体" w:eastAsia="宋体" w:cs="宋体"/>
          <w:b w:val="0"/>
          <w:color w:val="auto"/>
          <w:sz w:val="24"/>
          <w:szCs w:val="24"/>
          <w:highlight w:val="none"/>
        </w:rPr>
        <w:t xml:space="preserve">时</w:t>
      </w:r>
      <w:r>
        <w:rPr>
          <w:rFonts w:hint="eastAsia" w:ascii="宋体" w:hAnsi="宋体" w:eastAsia="宋体" w:cs="宋体"/>
          <w:b w:val="0"/>
          <w:color w:val="auto"/>
          <w:sz w:val="24"/>
          <w:szCs w:val="24"/>
          <w:highlight w:val="none"/>
          <w:lang w:val="en-US" w:eastAsia="zh-CN"/>
        </w:rPr>
        <w:t xml:space="preserve">00</w:t>
      </w:r>
      <w:r>
        <w:rPr>
          <w:rFonts w:hint="eastAsia" w:ascii="宋体" w:hAnsi="宋体" w:eastAsia="宋体" w:cs="宋体"/>
          <w:b w:val="0"/>
          <w:color w:val="auto"/>
          <w:sz w:val="24"/>
          <w:szCs w:val="24"/>
          <w:highlight w:val="none"/>
        </w:rPr>
        <w:t xml:space="preserve">分00秒（北京时间）</w:t>
      </w:r>
      <w:bookmarkEnd w:id="30"/>
      <w:r>
        <w:rPr>
          <w:color w:val="auto"/>
          <w:highlight w:val="none"/>
        </w:rPr>
      </w:r>
      <w:r>
        <w:rPr>
          <w:color w:val="auto"/>
          <w:highlight w:val="none"/>
        </w:rPr>
      </w:r>
    </w:p>
    <w:p>
      <w:pPr>
        <w:ind w:firstLine="48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en-US"/>
        </w:rPr>
        <w:t xml:space="preserve">地点：“苏采云”系统（网址：http://jszfcg.jsczt.cn/）“开标大厅”</w:t>
      </w:r>
      <w:bookmarkEnd w:id="31"/>
      <w:r>
        <w:rPr>
          <w:color w:val="auto"/>
        </w:rPr>
      </w:r>
      <w:bookmarkEnd w:id="32"/>
      <w:r>
        <w:rPr>
          <w:color w:val="auto"/>
        </w:rPr>
      </w:r>
      <w:bookmarkEnd w:id="33"/>
      <w:r>
        <w:rPr>
          <w:color w:val="auto"/>
        </w:rPr>
      </w:r>
      <w:bookmarkEnd w:id="34"/>
      <w:r>
        <w:rPr>
          <w:color w:val="auto"/>
        </w:rPr>
      </w:r>
      <w:r>
        <w:rPr>
          <w:color w:val="auto"/>
          <w:highlight w:val="none"/>
        </w:rPr>
      </w:r>
    </w:p>
    <w:p>
      <w:pPr>
        <w:numPr>
          <w:ilvl w:val="0"/>
          <w:numId w:val="0"/>
        </w:numPr>
        <w:ind w:firstLine="480"/>
        <w:pageBreakBefore w:val="0"/>
        <w:spacing w:line="480" w:lineRule="exact"/>
        <w:widowControl w:val="off"/>
        <w:rPr>
          <w:rFonts w:hint="eastAsia" w:ascii="黑体" w:hAnsi="黑体" w:eastAsia="黑体" w:cs="黑体"/>
          <w:b/>
          <w:bCs w:val="0"/>
          <w:color w:val="auto"/>
          <w:sz w:val="24"/>
          <w:szCs w:val="24"/>
          <w:highlight w:val="none"/>
        </w:rPr>
      </w:pPr>
      <w:r>
        <w:rPr>
          <w:rFonts w:hint="eastAsia" w:ascii="黑体" w:hAnsi="黑体" w:eastAsia="黑体" w:cs="黑体"/>
          <w:b/>
          <w:bCs w:val="0"/>
          <w:color w:val="auto"/>
          <w:sz w:val="24"/>
          <w:szCs w:val="24"/>
          <w:highlight w:val="none"/>
          <w:lang w:val="en-US" w:eastAsia="zh-CN" w:bidi="ar-SA"/>
        </w:rPr>
        <w:t xml:space="preserve">五、</w:t>
      </w:r>
      <w:r>
        <w:rPr>
          <w:rFonts w:hint="eastAsia" w:ascii="黑体" w:hAnsi="黑体" w:eastAsia="黑体" w:cs="黑体"/>
          <w:b/>
          <w:bCs w:val="0"/>
          <w:color w:val="auto"/>
          <w:sz w:val="24"/>
          <w:szCs w:val="24"/>
          <w:highlight w:val="none"/>
          <w:lang w:val="en-US" w:eastAsia="zh-CN"/>
        </w:rPr>
        <w:t xml:space="preserve">开启</w:t>
      </w:r>
      <w:r>
        <w:rPr>
          <w:color w:val="auto"/>
          <w:highlight w:val="none"/>
        </w:rPr>
      </w:r>
    </w:p>
    <w:p>
      <w:pPr>
        <w:ind w:firstLine="480"/>
        <w:keepLines/>
        <w:keepNext/>
        <w:pageBreakBefore w:val="0"/>
        <w:spacing w:line="480" w:lineRule="exact"/>
        <w:shd w:val="clear" w:color="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时间：</w:t>
      </w:r>
      <w:r>
        <w:rPr>
          <w:rFonts w:hint="eastAsia" w:ascii="宋体" w:hAnsi="宋体" w:eastAsia="宋体" w:cs="宋体"/>
          <w:b w:val="0"/>
          <w:bCs/>
          <w:color w:val="auto"/>
          <w:sz w:val="24"/>
          <w:szCs w:val="24"/>
          <w:highlight w:val="none"/>
          <w:lang w:val="en-US" w:eastAsia="en-US"/>
        </w:rPr>
        <w:t xml:space="preserve">202</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en-US"/>
        </w:rPr>
        <w:t xml:space="preserve">年</w:t>
      </w:r>
      <w:r>
        <w:rPr>
          <w:rFonts w:hint="eastAsia" w:ascii="宋体" w:hAnsi="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val="en-US" w:eastAsia="en-US"/>
        </w:rPr>
        <w:t xml:space="preserve">月</w:t>
      </w:r>
      <w:r>
        <w:rPr>
          <w:rFonts w:hint="eastAsia" w:ascii="宋体" w:hAnsi="宋体" w:cs="宋体"/>
          <w:b w:val="0"/>
          <w:bCs/>
          <w:color w:val="auto"/>
          <w:sz w:val="24"/>
          <w:szCs w:val="24"/>
          <w:highlight w:val="none"/>
          <w:lang w:val="en-US" w:eastAsia="zh-CN"/>
        </w:rPr>
        <w:t xml:space="preserve">4</w:t>
      </w:r>
      <w:bookmarkStart w:id="311" w:name="_GoBack"/>
      <w:r>
        <w:rPr>
          <w:color w:val="auto"/>
          <w:highlight w:val="none"/>
        </w:rPr>
      </w:r>
      <w:bookmarkEnd w:id="311"/>
      <w:r>
        <w:rPr>
          <w:rFonts w:hint="eastAsia" w:ascii="宋体" w:hAnsi="宋体" w:eastAsia="宋体" w:cs="宋体"/>
          <w:b w:val="0"/>
          <w:bCs/>
          <w:color w:val="auto"/>
          <w:sz w:val="24"/>
          <w:szCs w:val="24"/>
          <w:highlight w:val="none"/>
          <w:lang w:val="en-US" w:eastAsia="en-US"/>
        </w:rPr>
        <w:t xml:space="preserve">日</w:t>
      </w:r>
      <w:r>
        <w:rPr>
          <w:rFonts w:hint="eastAsia" w:ascii="宋体" w:hAnsi="宋体" w:eastAsia="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lang w:val="en-US" w:eastAsia="zh-CN"/>
        </w:rPr>
        <w:t xml:space="preserve">09</w:t>
      </w:r>
      <w:r>
        <w:rPr>
          <w:rFonts w:hint="eastAsia" w:ascii="宋体" w:hAnsi="宋体" w:eastAsia="宋体" w:cs="宋体"/>
          <w:b w:val="0"/>
          <w:bCs/>
          <w:color w:val="auto"/>
          <w:sz w:val="24"/>
          <w:szCs w:val="24"/>
          <w:highlight w:val="none"/>
          <w:lang w:val="en-US" w:eastAsia="zh-CN"/>
        </w:rPr>
        <w:t xml:space="preserve">时00分00秒</w:t>
      </w:r>
      <w:r>
        <w:rPr>
          <w:rFonts w:hint="eastAsia" w:ascii="宋体" w:hAnsi="宋体" w:eastAsia="宋体" w:cs="宋体"/>
          <w:b w:val="0"/>
          <w:bCs/>
          <w:color w:val="auto"/>
          <w:sz w:val="24"/>
          <w:szCs w:val="24"/>
          <w:highlight w:val="none"/>
          <w:lang w:val="en-US" w:eastAsia="en-US"/>
        </w:rPr>
        <w:t xml:space="preserve">（北京时间）</w:t>
      </w:r>
      <w:r>
        <w:rPr>
          <w:color w:val="auto"/>
          <w:highlight w:val="none"/>
        </w:rPr>
      </w:r>
    </w:p>
    <w:p>
      <w:pPr>
        <w:keepLines/>
        <w:keepNext/>
        <w:pageBreakBefore w:val="0"/>
        <w:spacing w:line="480" w:lineRule="exact"/>
        <w:shd w:val="clear" w:color="auto"/>
        <w:widowControl w:val="off"/>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lang w:val="en-US" w:eastAsia="zh-CN"/>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地点：</w:t>
      </w:r>
      <w:r>
        <w:rPr>
          <w:rFonts w:hint="eastAsia" w:ascii="宋体" w:hAnsi="宋体" w:eastAsia="宋体" w:cs="宋体"/>
          <w:b w:val="0"/>
          <w:bCs/>
          <w:color w:val="auto"/>
          <w:sz w:val="24"/>
          <w:szCs w:val="24"/>
          <w:highlight w:val="none"/>
          <w:lang w:val="en-US" w:eastAsia="en-US"/>
        </w:rPr>
        <w:t xml:space="preserve">“苏采云”系统（网址：http://jszfcg.jsczt.cn/）“开标大厅”</w:t>
      </w:r>
      <w:r>
        <w:rPr>
          <w:color w:val="auto"/>
          <w:highlight w:val="none"/>
        </w:rPr>
      </w:r>
    </w:p>
    <w:p>
      <w:pPr>
        <w:ind w:firstLine="480"/>
        <w:pageBreakBefore w:val="0"/>
        <w:spacing w:line="480" w:lineRule="exact"/>
        <w:widowControl w:val="off"/>
        <w:rPr>
          <w:rFonts w:hint="eastAsia" w:ascii="黑体" w:hAnsi="黑体" w:eastAsia="黑体" w:cs="黑体"/>
          <w:b/>
          <w:color w:val="auto"/>
          <w:sz w:val="24"/>
          <w:highlight w:val="none"/>
        </w:rPr>
      </w:pPr>
      <w:r>
        <w:rPr>
          <w:rFonts w:hint="eastAsia" w:ascii="黑体" w:hAnsi="黑体" w:eastAsia="黑体" w:cs="黑体"/>
          <w:b/>
          <w:color w:val="auto"/>
          <w:sz w:val="24"/>
          <w:highlight w:val="none"/>
          <w:lang w:val="en-US" w:eastAsia="zh-CN"/>
        </w:rPr>
        <w:t xml:space="preserve">六、</w:t>
      </w:r>
      <w:r>
        <w:rPr>
          <w:rFonts w:hint="eastAsia" w:ascii="黑体" w:hAnsi="黑体" w:eastAsia="黑体" w:cs="黑体"/>
          <w:b/>
          <w:color w:val="auto"/>
          <w:sz w:val="24"/>
          <w:highlight w:val="none"/>
        </w:rPr>
        <w:t xml:space="preserve">公告期限</w:t>
      </w:r>
      <w:r>
        <w:rPr>
          <w:color w:val="auto"/>
          <w:highlight w:val="none"/>
        </w:rPr>
      </w:r>
    </w:p>
    <w:p>
      <w:pPr>
        <w:ind w:firstLine="480"/>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公告期限：</w:t>
      </w:r>
      <w:r>
        <w:rPr>
          <w:rFonts w:hint="eastAsia" w:ascii="宋体" w:hAnsi="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个工作日。</w:t>
      </w:r>
      <w:r>
        <w:rPr>
          <w:color w:val="auto"/>
          <w:highlight w:val="none"/>
        </w:rPr>
      </w:r>
    </w:p>
    <w:p>
      <w:pPr>
        <w:ind w:right="0" w:firstLine="482"/>
        <w:jc w:val="both"/>
        <w:keepLines w:val="0"/>
        <w:keepNext w:val="0"/>
        <w:pageBreakBefore w:val="0"/>
        <w:spacing w:line="480" w:lineRule="exact"/>
        <w:widowControl w:val="off"/>
        <w:rPr>
          <w:rFonts w:hint="eastAsia" w:ascii="黑体" w:hAnsi="黑体" w:eastAsia="黑体" w:cs="黑体"/>
          <w:b/>
          <w:bCs w:val="0"/>
          <w:color w:val="auto"/>
          <w:sz w:val="24"/>
          <w:szCs w:val="24"/>
          <w:highlight w:val="none"/>
        </w:rPr>
        <w:outlineLvl w:val="9"/>
      </w:pPr>
      <w:r>
        <w:rPr>
          <w:color w:val="auto"/>
          <w:highlight w:val="none"/>
        </w:rPr>
      </w:r>
      <w:bookmarkStart w:id="35" w:name="_Toc35393804"/>
      <w:r>
        <w:rPr>
          <w:color w:val="auto"/>
          <w:highlight w:val="none"/>
        </w:rPr>
      </w:r>
      <w:bookmarkStart w:id="36" w:name="_Toc35393635"/>
      <w:r>
        <w:rPr>
          <w:rFonts w:hint="eastAsia" w:ascii="黑体" w:hAnsi="黑体" w:eastAsia="黑体" w:cs="黑体"/>
          <w:b/>
          <w:bCs w:val="0"/>
          <w:color w:val="auto"/>
          <w:sz w:val="24"/>
          <w:szCs w:val="24"/>
          <w:highlight w:val="none"/>
          <w:lang w:val="en-US" w:eastAsia="zh-CN"/>
        </w:rPr>
        <w:t xml:space="preserve">七</w:t>
      </w:r>
      <w:r>
        <w:rPr>
          <w:rFonts w:hint="eastAsia" w:ascii="黑体" w:hAnsi="黑体" w:eastAsia="黑体" w:cs="黑体"/>
          <w:b/>
          <w:bCs w:val="0"/>
          <w:color w:val="auto"/>
          <w:sz w:val="24"/>
          <w:szCs w:val="24"/>
          <w:highlight w:val="none"/>
        </w:rPr>
        <w:t xml:space="preserve">、其他补充事宜</w:t>
      </w:r>
      <w:bookmarkEnd w:id="35"/>
      <w:r>
        <w:rPr>
          <w:color w:val="auto"/>
          <w:highlight w:val="none"/>
        </w:rPr>
      </w:r>
      <w:bookmarkEnd w:id="36"/>
      <w:r>
        <w:rPr>
          <w:color w:val="auto"/>
          <w:highlight w:val="none"/>
        </w:rPr>
      </w:r>
      <w:r>
        <w:rPr>
          <w:color w:val="auto"/>
          <w:highlight w:val="none"/>
        </w:rPr>
      </w:r>
    </w:p>
    <w:p>
      <w:pPr>
        <w:ind w:firstLine="480"/>
        <w:jc w:val="left"/>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本次</w:t>
      </w:r>
      <w:r>
        <w:rPr>
          <w:rFonts w:hint="eastAsia" w:ascii="宋体" w:hAnsi="宋体" w:cs="宋体"/>
          <w:color w:val="auto"/>
          <w:sz w:val="24"/>
          <w:highlight w:val="none"/>
          <w:lang w:val="en-US" w:eastAsia="zh-CN"/>
        </w:rPr>
        <w:t xml:space="preserve">竞争性</w:t>
      </w:r>
      <w:r>
        <w:rPr>
          <w:rFonts w:hint="eastAsia" w:ascii="宋体" w:hAnsi="宋体" w:cs="宋体"/>
          <w:color w:val="auto"/>
          <w:sz w:val="24"/>
          <w:highlight w:val="none"/>
        </w:rPr>
        <w:t xml:space="preserve">磋商不收取磋商保证金。</w:t>
      </w:r>
      <w:r>
        <w:rPr>
          <w:color w:val="auto"/>
          <w:highlight w:val="none"/>
        </w:rPr>
      </w:r>
    </w:p>
    <w:p>
      <w:pPr>
        <w:ind w:firstLine="480"/>
        <w:jc w:val="left"/>
        <w:pageBreakBefore w:val="0"/>
        <w:spacing w:line="48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本项目竞争性磋商文件中标注★的款项为实质性响应要求和条件，如不满足将按无效响应文件处理。</w:t>
      </w:r>
      <w:r>
        <w:rPr>
          <w:color w:val="auto"/>
          <w:highlight w:val="none"/>
        </w:rPr>
      </w:r>
    </w:p>
    <w:p>
      <w:pPr>
        <w:ind w:firstLine="480"/>
        <w:keepLines w:val="0"/>
        <w:keepNext w:val="0"/>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 xml:space="preserve">3. 响应文件有效期：从磋商截止时间结束后 60 天内有效。</w:t>
      </w:r>
      <w:r>
        <w:rPr>
          <w:color w:val="auto"/>
          <w:highlight w:val="none"/>
        </w:rP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无论出于何种原因，采购人在采购活动开始前可对招标文件进行修改、补充或变更，其内容作为招标文件的重要组成部分，请各供应商关注江苏省政府采购网。若因供应商自身原因未及时关注本项目有关修改、补充或变更信息，导致投标文件编制或提交失误，由此造成的一切损失由供应商自行承担。</w:t>
      </w:r>
      <w:r>
        <w:rPr>
          <w:color w:val="auto"/>
          <w:highlight w:val="none"/>
        </w:rPr>
      </w:r>
    </w:p>
    <w:p>
      <w:pPr>
        <w:ind w:firstLine="480"/>
        <w:pageBreakBefore w:val="0"/>
        <w:spacing w:line="480" w:lineRule="exact"/>
        <w:widowControl w:val="off"/>
        <w:rPr>
          <w:rStyle w:val="751"/>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 </w:instrText>
      </w:r>
      <w:r>
        <w:rPr>
          <w:rFonts w:hint="eastAsia" w:ascii="宋体" w:hAnsi="宋体" w:eastAsia="宋体" w:cs="宋体"/>
          <w:color w:val="auto"/>
          <w:sz w:val="24"/>
          <w:szCs w:val="24"/>
          <w:highlight w:val="none"/>
        </w:rPr>
        <w:fldChar w:fldCharType="separate"/>
      </w:r>
      <w:r>
        <w:rPr>
          <w:rStyle w:val="751"/>
          <w:rFonts w:hint="eastAsia" w:ascii="宋体" w:hAnsi="宋体" w:eastAsia="宋体" w:cs="宋体"/>
          <w:color w:val="auto"/>
          <w:sz w:val="24"/>
          <w:szCs w:val="24"/>
          <w:highlight w:val="none"/>
        </w:rPr>
        <w:t xml:space="preserve">http://www.ccgp-jiangsu.gov.cn/jiangsu/zlxz/ee/ee3a4bc5a3454</w:t>
      </w:r>
      <w:r>
        <w:rPr>
          <w:color w:val="auto"/>
          <w:highlight w:val="none"/>
        </w:rPr>
      </w:r>
    </w:p>
    <w:p>
      <w:pPr>
        <w:jc w:val="left"/>
        <w:pageBreakBefore w:val="0"/>
        <w:spacing w:line="480" w:lineRule="exact"/>
        <w:widowControl w:val="off"/>
        <w:rPr>
          <w:rFonts w:ascii="宋体" w:hAnsi="宋体" w:eastAsia="宋体" w:cs="宋体"/>
          <w:color w:val="auto"/>
          <w:sz w:val="24"/>
          <w:szCs w:val="24"/>
          <w:highlight w:val="none"/>
        </w:rPr>
      </w:pPr>
      <w:r>
        <w:rPr>
          <w:rStyle w:val="751"/>
          <w:rFonts w:hint="eastAsia" w:ascii="宋体" w:hAnsi="宋体" w:eastAsia="宋体" w:cs="宋体"/>
          <w:color w:val="auto"/>
          <w:sz w:val="24"/>
          <w:szCs w:val="24"/>
          <w:highlight w:val="none"/>
        </w:rPr>
        <w:t xml:space="preserve">a</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a2b0d9312230633ce9.htmll</w:t>
      </w:r>
      <w:r>
        <w:rPr>
          <w:color w:val="auto"/>
          <w:highlight w:val="none"/>
        </w:rPr>
      </w:r>
    </w:p>
    <w:p>
      <w:pPr>
        <w:ind w:firstLine="480"/>
        <w:jc w:val="left"/>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color w:val="auto"/>
          <w:highlight w:val="none"/>
        </w:rPr>
      </w:r>
    </w:p>
    <w:p>
      <w:pPr>
        <w:ind w:right="0" w:firstLine="482"/>
        <w:jc w:val="both"/>
        <w:keepLines w:val="0"/>
        <w:keepNext w:val="0"/>
        <w:pageBreakBefore w:val="0"/>
        <w:spacing w:line="480" w:lineRule="exact"/>
        <w:widowControl w:val="off"/>
        <w:rPr>
          <w:rFonts w:hint="eastAsia" w:ascii="黑体" w:hAnsi="黑体" w:eastAsia="黑体" w:cs="黑体"/>
          <w:b/>
          <w:bCs w:val="0"/>
          <w:color w:val="auto"/>
          <w:sz w:val="24"/>
          <w:szCs w:val="24"/>
          <w:highlight w:val="none"/>
        </w:rPr>
        <w:outlineLvl w:val="9"/>
      </w:pPr>
      <w:r>
        <w:rPr>
          <w:rFonts w:hint="eastAsia" w:ascii="黑体" w:hAnsi="黑体" w:eastAsia="黑体" w:cs="黑体"/>
          <w:b/>
          <w:bCs w:val="0"/>
          <w:color w:val="auto"/>
          <w:sz w:val="24"/>
          <w:szCs w:val="24"/>
          <w:highlight w:val="none"/>
          <w:lang w:val="en-US" w:eastAsia="zh-CN"/>
        </w:rPr>
        <w:t xml:space="preserve">八</w:t>
      </w:r>
      <w:r>
        <w:rPr>
          <w:rFonts w:hint="eastAsia" w:ascii="黑体" w:hAnsi="黑体" w:eastAsia="黑体" w:cs="黑体"/>
          <w:b/>
          <w:bCs w:val="0"/>
          <w:color w:val="auto"/>
          <w:sz w:val="24"/>
          <w:szCs w:val="24"/>
          <w:highlight w:val="none"/>
        </w:rPr>
        <w:t xml:space="preserve">、凡对本次采购提出询问，请按以下方式联系</w:t>
      </w:r>
      <w:bookmarkEnd w:id="22"/>
      <w:r>
        <w:rPr>
          <w:color w:val="auto"/>
          <w:highlight w:val="none"/>
        </w:rPr>
      </w:r>
      <w:bookmarkEnd w:id="23"/>
      <w:r>
        <w:rPr>
          <w:color w:val="auto"/>
          <w:highlight w:val="none"/>
        </w:rPr>
      </w:r>
      <w:bookmarkEnd w:id="24"/>
      <w:r>
        <w:rPr>
          <w:color w:val="auto"/>
          <w:highlight w:val="none"/>
        </w:rPr>
      </w:r>
      <w:bookmarkEnd w:id="25"/>
      <w:r>
        <w:rPr>
          <w:color w:val="auto"/>
          <w:highlight w:val="none"/>
        </w:rPr>
      </w:r>
      <w:r>
        <w:rPr>
          <w:color w:val="auto"/>
          <w:highlight w:val="none"/>
        </w:rPr>
      </w:r>
    </w:p>
    <w:p>
      <w:pPr>
        <w:ind w:firstLine="480"/>
        <w:jc w:val="left"/>
        <w:pageBreakBefore w:val="0"/>
        <w:spacing w:line="480" w:lineRule="exact"/>
        <w:widowControl w:val="off"/>
        <w:rPr>
          <w:rFonts w:ascii="宋体" w:hAnsi="宋体" w:eastAsia="宋体" w:cs="宋体"/>
          <w:color w:val="auto"/>
          <w:sz w:val="24"/>
          <w:szCs w:val="24"/>
          <w:highlight w:val="none"/>
        </w:rPr>
      </w:pPr>
      <w:r>
        <w:rPr>
          <w:color w:val="auto"/>
          <w:highlight w:val="none"/>
        </w:rPr>
      </w:r>
      <w:bookmarkStart w:id="37" w:name="_Toc35393639"/>
      <w:r>
        <w:rPr>
          <w:color w:val="auto"/>
          <w:highlight w:val="none"/>
        </w:rPr>
      </w:r>
      <w:bookmarkStart w:id="38" w:name="_Toc28359098"/>
      <w:r>
        <w:rPr>
          <w:color w:val="auto"/>
          <w:highlight w:val="none"/>
        </w:rPr>
      </w:r>
      <w:bookmarkStart w:id="39" w:name="_Toc28359021"/>
      <w:r>
        <w:rPr>
          <w:color w:val="auto"/>
          <w:highlight w:val="none"/>
        </w:rPr>
      </w:r>
      <w:bookmarkStart w:id="40" w:name="_Toc35393808"/>
      <w:r>
        <w:rPr>
          <w:rFonts w:hint="eastAsia" w:ascii="宋体" w:hAnsi="宋体" w:eastAsia="宋体" w:cs="宋体"/>
          <w:color w:val="auto"/>
          <w:sz w:val="24"/>
          <w:szCs w:val="24"/>
          <w:highlight w:val="none"/>
        </w:rPr>
        <w:t xml:space="preserve">名    称：连云港市第二人民医院</w:t>
      </w:r>
      <w:r>
        <w:rPr>
          <w:color w:val="auto"/>
          <w:highlight w:val="none"/>
        </w:rPr>
      </w:r>
    </w:p>
    <w:p>
      <w:pPr>
        <w:ind w:firstLine="480"/>
        <w:jc w:val="left"/>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址：海连东路41号 </w:t>
      </w:r>
      <w:r>
        <w:rPr>
          <w:color w:val="auto"/>
          <w:highlight w:val="none"/>
        </w:rPr>
      </w:r>
    </w:p>
    <w:p>
      <w:pPr>
        <w:ind w:firstLine="480"/>
        <w:jc w:val="left"/>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人：张老师</w:t>
      </w:r>
      <w:r>
        <w:rPr>
          <w:color w:val="auto"/>
          <w:highlight w:val="none"/>
        </w:rPr>
      </w:r>
    </w:p>
    <w:p>
      <w:pPr>
        <w:ind w:firstLine="480"/>
        <w:jc w:val="left"/>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联系电话：0518-85776671/13611558242           </w:t>
      </w:r>
      <w:r>
        <w:rPr>
          <w:color w:val="auto"/>
          <w:highlight w:val="none"/>
        </w:rPr>
      </w:r>
    </w:p>
    <w:p>
      <w:pPr>
        <w:ind w:firstLine="480"/>
        <w:jc w:val="left"/>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rPr>
          <w:color w:val="auto"/>
          <w:highlight w:val="none"/>
        </w:rPr>
      </w:r>
    </w:p>
    <w:p>
      <w:pPr>
        <w:ind w:firstLine="480"/>
        <w:jc w:val="left"/>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鼎正众创建设集团有限公司</w:t>
      </w:r>
      <w:r>
        <w:rPr>
          <w:color w:val="auto"/>
          <w:highlight w:val="none"/>
        </w:rPr>
      </w:r>
    </w:p>
    <w:p>
      <w:pPr>
        <w:ind w:firstLine="480"/>
        <w:jc w:val="left"/>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址：连云港市连云区云宿路80号</w:t>
      </w:r>
      <w:r>
        <w:rPr>
          <w:color w:val="auto"/>
          <w:highlight w:val="none"/>
        </w:rPr>
      </w:r>
    </w:p>
    <w:p>
      <w:pPr>
        <w:ind w:firstLine="480"/>
        <w:jc w:val="left"/>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干</w:t>
      </w:r>
      <w:r>
        <w:rPr>
          <w:rFonts w:hint="eastAsia" w:ascii="宋体" w:hAnsi="宋体" w:eastAsia="宋体" w:cs="宋体"/>
          <w:color w:val="auto"/>
          <w:sz w:val="24"/>
          <w:szCs w:val="24"/>
          <w:highlight w:val="none"/>
        </w:rPr>
        <w:t xml:space="preserve">工</w:t>
      </w:r>
      <w:r>
        <w:rPr>
          <w:color w:val="auto"/>
          <w:highlight w:val="none"/>
        </w:rPr>
      </w:r>
    </w:p>
    <w:p>
      <w:pPr>
        <w:ind w:firstLine="480"/>
        <w:jc w:val="left"/>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联系电话：0518-86080865</w:t>
      </w:r>
      <w:r>
        <w:rPr>
          <w:color w:val="auto"/>
          <w:highlight w:val="none"/>
        </w:rPr>
      </w:r>
    </w:p>
    <w:p>
      <w:pPr>
        <w:ind w:firstLine="480"/>
        <w:jc w:val="left"/>
        <w:pageBreakBefore w:val="0"/>
        <w:spacing w:line="48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r>
        <w:rPr>
          <w:color w:val="auto"/>
          <w:highlight w:val="none"/>
        </w:rPr>
      </w:r>
    </w:p>
    <w:p>
      <w:pPr>
        <w:ind w:firstLine="480"/>
        <w:jc w:val="left"/>
        <w:pageBreakBefore w:val="0"/>
        <w:spacing w:line="48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王老师</w:t>
      </w:r>
      <w:r>
        <w:rPr>
          <w:color w:val="auto"/>
          <w:highlight w:val="none"/>
        </w:rPr>
      </w:r>
    </w:p>
    <w:p>
      <w:pPr>
        <w:ind w:firstLine="482"/>
        <w:keepLines/>
        <w:keepNext/>
        <w:pageBreakBefore w:val="0"/>
        <w:spacing w:line="480" w:lineRule="exact"/>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电      话：13812320618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color w:val="auto"/>
          <w:highlight w:val="none"/>
        </w:rPr>
      </w:r>
    </w:p>
    <w:p>
      <w:pPr>
        <w:ind w:firstLine="482"/>
        <w:keepLines/>
        <w:keepNext/>
        <w:pageBreakBefore w:val="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r>
      <w:bookmarkEnd w:id="37"/>
      <w:r>
        <w:rPr>
          <w:color w:val="auto"/>
        </w:rPr>
      </w:r>
      <w:bookmarkEnd w:id="38"/>
      <w:r>
        <w:rPr>
          <w:color w:val="auto"/>
        </w:rPr>
      </w:r>
      <w:bookmarkEnd w:id="39"/>
      <w:r>
        <w:rPr>
          <w:color w:val="auto"/>
        </w:rPr>
      </w:r>
      <w:bookmarkEnd w:id="40"/>
      <w:r>
        <w:rPr>
          <w:color w:val="auto"/>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ind w:firstLine="482"/>
        <w:jc w:val="left"/>
        <w:keepLines w:val="0"/>
        <w:keepNext w:val="0"/>
        <w:pageBreakBefore w:val="0"/>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rPr>
          <w:color w:val="auto"/>
          <w:highlight w:val="none"/>
        </w:rPr>
      </w:r>
    </w:p>
    <w:p>
      <w:pPr>
        <w:pStyle w:val="709"/>
        <w:jc w:val="center"/>
        <w:rPr>
          <w:rFonts w:hint="eastAsia"/>
          <w:b/>
          <w:bCs/>
          <w:color w:val="auto"/>
          <w:highlight w:val="none"/>
        </w:rPr>
      </w:pPr>
      <w:r>
        <w:rPr>
          <w:color w:val="auto"/>
          <w:highlight w:val="none"/>
        </w:rPr>
      </w:r>
      <w:bookmarkStart w:id="41" w:name="_Toc21453"/>
      <w:r>
        <w:rPr>
          <w:color w:val="auto"/>
          <w:highlight w:val="none"/>
        </w:rPr>
      </w:r>
      <w:bookmarkStart w:id="42" w:name="_Toc15868"/>
      <w:r>
        <w:rPr>
          <w:color w:val="auto"/>
          <w:highlight w:val="none"/>
        </w:rPr>
      </w:r>
      <w:bookmarkStart w:id="43" w:name="_Toc513029209"/>
      <w:r>
        <w:rPr>
          <w:color w:val="auto"/>
          <w:highlight w:val="none"/>
        </w:rPr>
      </w:r>
      <w:bookmarkStart w:id="44" w:name="_Toc465856612"/>
      <w:r>
        <w:rPr>
          <w:color w:val="auto"/>
          <w:highlight w:val="none"/>
        </w:rPr>
      </w:r>
      <w:bookmarkStart w:id="45" w:name="_Toc7098"/>
      <w:r>
        <w:rPr>
          <w:color w:val="auto"/>
          <w:highlight w:val="none"/>
        </w:rPr>
      </w:r>
      <w:bookmarkStart w:id="46" w:name="_Toc14577347"/>
      <w:r>
        <w:rPr>
          <w:color w:val="auto"/>
          <w:highlight w:val="none"/>
        </w:rPr>
      </w:r>
      <w:bookmarkStart w:id="47" w:name="_Toc8218"/>
      <w:r>
        <w:rPr>
          <w:color w:val="auto"/>
          <w:highlight w:val="none"/>
        </w:rPr>
      </w:r>
      <w:bookmarkStart w:id="48" w:name="_Toc61149549"/>
      <w:r>
        <w:rPr>
          <w:rFonts w:hint="eastAsia"/>
          <w:b/>
          <w:bCs/>
          <w:color w:val="auto"/>
          <w:highlight w:val="none"/>
        </w:rPr>
        <w:t xml:space="preserve">第二章 磋商须知</w:t>
      </w:r>
      <w:bookmarkEnd w:id="41"/>
      <w:r>
        <w:rPr>
          <w:color w:val="auto"/>
          <w:highlight w:val="none"/>
        </w:rPr>
      </w:r>
      <w:bookmarkEnd w:id="42"/>
      <w:r>
        <w:rPr>
          <w:color w:val="auto"/>
          <w:highlight w:val="none"/>
        </w:rPr>
      </w:r>
      <w:bookmarkEnd w:id="43"/>
      <w:r>
        <w:rPr>
          <w:color w:val="auto"/>
          <w:highlight w:val="none"/>
        </w:rPr>
      </w:r>
      <w:bookmarkEnd w:id="44"/>
      <w:r>
        <w:rPr>
          <w:color w:val="auto"/>
          <w:highlight w:val="none"/>
        </w:rPr>
      </w:r>
      <w:bookmarkEnd w:id="45"/>
      <w:r>
        <w:rPr>
          <w:color w:val="auto"/>
          <w:highlight w:val="none"/>
        </w:rPr>
      </w:r>
      <w:bookmarkEnd w:id="46"/>
      <w:r>
        <w:rPr>
          <w:color w:val="auto"/>
          <w:highlight w:val="none"/>
        </w:rPr>
      </w:r>
      <w:bookmarkEnd w:id="47"/>
      <w:r>
        <w:rPr>
          <w:color w:val="auto"/>
          <w:highlight w:val="none"/>
        </w:rPr>
      </w:r>
      <w:bookmarkEnd w:id="48"/>
      <w:r>
        <w:rPr>
          <w:color w:val="auto"/>
          <w:highlight w:val="none"/>
        </w:rPr>
      </w:r>
      <w:r>
        <w:rPr>
          <w:color w:val="auto"/>
          <w:highlight w:val="none"/>
        </w:rPr>
      </w:r>
    </w:p>
    <w:p>
      <w:pPr>
        <w:ind w:firstLine="2160"/>
        <w:spacing w:after="143" w:line="56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（参加竞争性磋商的供应商以下简称“供应商”）</w:t>
      </w:r>
      <w:r>
        <w:rPr>
          <w:color w:val="auto"/>
          <w:highlight w:val="none"/>
        </w:rPr>
      </w:r>
    </w:p>
    <w:p>
      <w:pPr>
        <w:pStyle w:val="941"/>
        <w:ind w:left="0" w:firstLine="482"/>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一、总则</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工程概况</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.1 现场条件</w:t>
      </w:r>
      <w:r>
        <w:rPr>
          <w:rFonts w:hint="eastAsia" w:ascii="宋体" w:hAnsi="宋体" w:eastAsia="宋体" w:cs="宋体"/>
          <w:color w:val="auto"/>
          <w:sz w:val="24"/>
          <w:szCs w:val="24"/>
          <w:highlight w:val="none"/>
          <w:lang w:eastAsia="zh-CN"/>
        </w:rPr>
        <w:t xml:space="preserve">：具备施工条件。</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 承包方式、质量标准、要求工期，详见采购文件第一章。</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cs="宋体"/>
          <w:color w:val="auto"/>
          <w:sz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.1适用范围：</w:t>
      </w:r>
      <w:r>
        <w:rPr>
          <w:rFonts w:hint="eastAsia" w:ascii="宋体" w:hAnsi="宋体" w:cs="宋体"/>
          <w:color w:val="auto"/>
          <w:sz w:val="24"/>
          <w:highlight w:val="none"/>
        </w:rPr>
        <w:t xml:space="preserve">本项目采购采用电子化方式，磋商文件、响应文件、开启、评审和成交结果发布全程电子化。</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rPr>
        <w:t xml:space="preserve">项目采购方式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本次采购采取竞争性磋商的方式。</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3、合格的</w:t>
      </w:r>
      <w:r>
        <w:rPr>
          <w:rFonts w:hint="eastAsia" w:ascii="宋体" w:hAnsi="宋体" w:eastAsia="宋体" w:cs="宋体"/>
          <w:color w:val="auto"/>
          <w:sz w:val="24"/>
          <w:szCs w:val="24"/>
          <w:highlight w:val="none"/>
          <w:lang w:eastAsia="zh-CN"/>
        </w:rPr>
        <w:t xml:space="preserve">供应商</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3.1满足本磋商文件“</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”中“申请人的资格要求”的规定</w:t>
      </w:r>
      <w:r>
        <w:rPr>
          <w:rFonts w:hint="eastAsia" w:ascii="宋体" w:hAnsi="宋体" w:eastAsia="宋体" w:cs="宋体"/>
          <w:color w:val="auto"/>
          <w:sz w:val="24"/>
          <w:szCs w:val="24"/>
          <w:highlight w:val="none"/>
          <w:lang w:eastAsia="zh-CN"/>
        </w:rPr>
        <w:t xml:space="preserve">，</w:t>
      </w:r>
      <w:r>
        <w:rPr>
          <w:rFonts w:hint="eastAsia" w:ascii="宋体" w:hAnsi="宋体" w:cs="宋体"/>
          <w:b/>
          <w:bCs/>
          <w:color w:val="auto"/>
          <w:sz w:val="24"/>
          <w:highlight w:val="none"/>
        </w:rPr>
        <w:t xml:space="preserve">否则该供应商投标无效</w:t>
      </w:r>
      <w:r>
        <w:rPr>
          <w:rFonts w:hint="eastAsia" w:ascii="宋体" w:hAnsi="宋体" w:cs="宋体"/>
          <w:color w:val="auto"/>
          <w:sz w:val="24"/>
          <w:highlight w:val="none"/>
        </w:rPr>
        <w:t xml:space="preserve">。</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满足本磋商文件实质性要求和条件的规定</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lang w:val="en-US" w:eastAsia="zh-CN"/>
        </w:rPr>
        <w:t xml:space="preserve">3.3</w:t>
      </w:r>
      <w:bookmarkStart w:id="49" w:name="_Toc20823278"/>
      <w:r>
        <w:rPr>
          <w:color w:val="auto"/>
          <w:highlight w:val="none"/>
        </w:rPr>
      </w:r>
      <w:bookmarkStart w:id="50" w:name="_Toc513029206"/>
      <w:r>
        <w:rPr>
          <w:color w:val="auto"/>
          <w:highlight w:val="none"/>
        </w:rPr>
      </w:r>
      <w:bookmarkStart w:id="51" w:name="_Toc16938522"/>
      <w:r>
        <w:rPr>
          <w:rFonts w:hint="eastAsia" w:ascii="宋体" w:hAnsi="宋体" w:cs="宋体"/>
          <w:b w:val="0"/>
          <w:bCs w:val="0"/>
          <w:color w:val="auto"/>
          <w:sz w:val="24"/>
          <w:highlight w:val="none"/>
        </w:rPr>
        <w:t xml:space="preserve">适用法律</w:t>
      </w:r>
      <w:bookmarkEnd w:id="49"/>
      <w:r>
        <w:rPr>
          <w:color w:val="auto"/>
          <w:highlight w:val="none"/>
        </w:rPr>
      </w:r>
      <w:bookmarkEnd w:id="50"/>
      <w:r>
        <w:rPr>
          <w:color w:val="auto"/>
          <w:highlight w:val="none"/>
        </w:rPr>
      </w:r>
      <w:bookmarkEnd w:id="51"/>
      <w:r>
        <w:rPr>
          <w:color w:val="auto"/>
          <w:highlight w:val="none"/>
        </w:rPr>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cs="宋体"/>
          <w:b w:val="0"/>
          <w:bCs w:val="0"/>
          <w:color w:val="auto"/>
          <w:sz w:val="24"/>
          <w:highlight w:val="none"/>
        </w:rPr>
        <w:outlineLvl w:val="9"/>
      </w:pPr>
      <w:r>
        <w:rPr>
          <w:rFonts w:hint="eastAsia" w:ascii="宋体" w:hAnsi="宋体" w:cs="宋体"/>
          <w:b w:val="0"/>
          <w:bCs w:val="0"/>
          <w:color w:val="auto"/>
          <w:sz w:val="24"/>
          <w:highlight w:val="none"/>
        </w:rPr>
        <w:t xml:space="preserve">本次磋商及由此产生的合同受中华人民共和国有关的法律法规制约和保护。</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4、磋商费用</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4.1参加</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供应商应自行承担所有与参加磋商有关的费用。不论最终的成交结果如何，</w:t>
      </w:r>
      <w:r>
        <w:rPr>
          <w:rFonts w:hint="eastAsia" w:ascii="宋体" w:hAnsi="宋体" w:cs="宋体"/>
          <w:color w:val="auto"/>
          <w:sz w:val="24"/>
          <w:szCs w:val="24"/>
          <w:highlight w:val="none"/>
          <w:lang w:eastAsia="zh-CN"/>
        </w:rPr>
        <w:t xml:space="preserve">鼎正众创建设集团有限公司（</w:t>
      </w:r>
      <w:r>
        <w:rPr>
          <w:rFonts w:hint="eastAsia" w:ascii="宋体" w:hAnsi="宋体" w:eastAsia="宋体" w:cs="宋体"/>
          <w:color w:val="auto"/>
          <w:sz w:val="24"/>
          <w:szCs w:val="24"/>
          <w:highlight w:val="none"/>
        </w:rPr>
        <w:t xml:space="preserve">以下简称代理机构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在任何情况下均无义务和责任承担这些费用</w:t>
      </w:r>
      <w:r>
        <w:rPr>
          <w:rFonts w:hint="eastAsia" w:ascii="宋体" w:hAnsi="宋体" w:cs="宋体"/>
          <w:color w:val="auto"/>
          <w:sz w:val="24"/>
          <w:szCs w:val="24"/>
          <w:highlight w:val="none"/>
          <w:lang w:eastAsia="zh-CN"/>
        </w:rPr>
        <w:t xml:space="preserve">。</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4.2 此次磋商代理机构和采购人不收取磋商文件工本费。 </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eastAsia="zh-CN"/>
        </w:rPr>
        <w:t xml:space="preserve">4.3 </w:t>
      </w:r>
      <w:r>
        <w:rPr>
          <w:rFonts w:hint="eastAsia" w:ascii="宋体" w:hAnsi="宋体" w:eastAsia="宋体" w:cs="宋体"/>
          <w:b/>
          <w:bCs/>
          <w:color w:val="auto"/>
          <w:sz w:val="24"/>
          <w:szCs w:val="24"/>
          <w:highlight w:val="none"/>
          <w:lang w:val="en-US" w:eastAsia="zh-CN"/>
        </w:rPr>
        <w:t xml:space="preserve">招标代理费</w:t>
      </w:r>
      <w:r>
        <w:rPr>
          <w:rFonts w:hint="eastAsia" w:ascii="宋体" w:hAnsi="宋体" w:cs="宋体"/>
          <w:b/>
          <w:bCs/>
          <w:color w:val="auto"/>
          <w:sz w:val="24"/>
          <w:szCs w:val="24"/>
          <w:highlight w:val="none"/>
          <w:lang w:val="en-US" w:eastAsia="zh-CN"/>
        </w:rPr>
        <w:t xml:space="preserve">及清单编制费</w:t>
      </w:r>
      <w:r>
        <w:rPr>
          <w:rFonts w:hint="eastAsia" w:ascii="宋体" w:hAnsi="宋体" w:eastAsia="宋体" w:cs="宋体"/>
          <w:b/>
          <w:bCs/>
          <w:color w:val="auto"/>
          <w:sz w:val="24"/>
          <w:szCs w:val="24"/>
          <w:highlight w:val="none"/>
          <w:lang w:val="en-US" w:eastAsia="zh-CN"/>
        </w:rPr>
        <w:t xml:space="preserve">按“苏招协【2022】002 号文</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苏建价协【2022】7 号文”服务收费标准收取。</w:t>
      </w:r>
      <w:r>
        <w:rPr>
          <w:rFonts w:hint="eastAsia" w:ascii="宋体" w:hAnsi="宋体" w:cs="宋体"/>
          <w:b/>
          <w:bCs/>
          <w:color w:val="auto"/>
          <w:sz w:val="24"/>
          <w:highlight w:val="none"/>
        </w:rPr>
        <w:t xml:space="preserve">以上所有费用均由</w:t>
      </w:r>
      <w:r>
        <w:rPr>
          <w:rFonts w:hint="eastAsia" w:ascii="宋体" w:hAnsi="宋体" w:cs="宋体"/>
          <w:b/>
          <w:bCs/>
          <w:color w:val="auto"/>
          <w:sz w:val="24"/>
          <w:highlight w:val="none"/>
          <w:lang w:val="en-US" w:eastAsia="zh-CN"/>
        </w:rPr>
        <w:t xml:space="preserve">成交人</w:t>
      </w:r>
      <w:r>
        <w:rPr>
          <w:rFonts w:hint="eastAsia" w:ascii="宋体" w:hAnsi="宋体" w:cs="宋体"/>
          <w:b/>
          <w:bCs/>
          <w:color w:val="auto"/>
          <w:sz w:val="24"/>
          <w:highlight w:val="none"/>
        </w:rPr>
        <w:t xml:space="preserve">支付</w:t>
      </w:r>
      <w:r>
        <w:rPr>
          <w:rFonts w:hint="eastAsia" w:ascii="宋体" w:hAnsi="宋体" w:cs="宋体"/>
          <w:b w:val="0"/>
          <w:bCs w:val="0"/>
          <w:color w:val="auto"/>
          <w:sz w:val="24"/>
          <w:highlight w:val="none"/>
          <w:lang w:eastAsia="zh-CN"/>
        </w:rPr>
        <w:t xml:space="preserve">。</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5、磋商文件的约束力</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供应商一旦</w:t>
      </w:r>
      <w:r>
        <w:rPr>
          <w:rFonts w:hint="eastAsia" w:ascii="宋体" w:hAnsi="宋体" w:eastAsia="宋体" w:cs="宋体"/>
          <w:color w:val="auto"/>
          <w:sz w:val="24"/>
          <w:szCs w:val="24"/>
          <w:highlight w:val="none"/>
          <w:lang w:val="en-US" w:eastAsia="zh-CN"/>
        </w:rPr>
        <w:t xml:space="preserve">获取了</w:t>
      </w:r>
      <w:r>
        <w:rPr>
          <w:rFonts w:hint="eastAsia" w:ascii="宋体" w:hAnsi="宋体" w:eastAsia="宋体" w:cs="宋体"/>
          <w:color w:val="auto"/>
          <w:sz w:val="24"/>
          <w:szCs w:val="24"/>
          <w:highlight w:val="none"/>
        </w:rPr>
        <w:t xml:space="preserve">本磋商文件并决定参加磋商，即被认为接受了本磋商文件的规定和约束，并且视为已经知道或应当知道自身权益是否受到了损害。</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bookmarkStart w:id="52" w:name="_Toc20823283"/>
      <w:r>
        <w:rPr>
          <w:color w:val="auto"/>
          <w:highlight w:val="none"/>
        </w:rPr>
      </w:r>
      <w:bookmarkStart w:id="53" w:name="_Toc513029211"/>
      <w:r>
        <w:rPr>
          <w:color w:val="auto"/>
          <w:highlight w:val="none"/>
        </w:rPr>
      </w:r>
      <w:bookmarkStart w:id="54" w:name="_Toc462564070"/>
      <w:r>
        <w:rPr>
          <w:color w:val="auto"/>
          <w:highlight w:val="none"/>
        </w:rPr>
      </w:r>
      <w:bookmarkStart w:id="55" w:name="_Toc16938527"/>
      <w:r>
        <w:rPr>
          <w:rFonts w:hint="eastAsia" w:ascii="宋体" w:hAnsi="宋体" w:eastAsia="宋体" w:cs="宋体"/>
          <w:color w:val="auto"/>
          <w:sz w:val="24"/>
          <w:szCs w:val="24"/>
          <w:highlight w:val="none"/>
        </w:rPr>
        <w:t xml:space="preserve">磋商文件的</w:t>
      </w:r>
      <w:bookmarkEnd w:id="52"/>
      <w:r>
        <w:rPr>
          <w:color w:val="auto"/>
          <w:highlight w:val="none"/>
        </w:rPr>
      </w:r>
      <w:bookmarkEnd w:id="53"/>
      <w:r>
        <w:rPr>
          <w:color w:val="auto"/>
          <w:highlight w:val="none"/>
        </w:rPr>
      </w:r>
      <w:bookmarkEnd w:id="54"/>
      <w:r>
        <w:rPr>
          <w:color w:val="auto"/>
          <w:highlight w:val="none"/>
        </w:rPr>
      </w:r>
      <w:bookmarkEnd w:id="55"/>
      <w:r>
        <w:rPr>
          <w:rFonts w:hint="eastAsia" w:ascii="宋体" w:hAnsi="宋体" w:eastAsia="宋体" w:cs="宋体"/>
          <w:color w:val="auto"/>
          <w:sz w:val="24"/>
          <w:szCs w:val="24"/>
          <w:highlight w:val="none"/>
        </w:rPr>
        <w:t xml:space="preserve">询问及修改</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6.1任何要求对磋商文件进行询问的供应商，均应在提交首次响应文件截止时间五日前按“</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中的通讯地址，向采购人或本代理机构提出。提交首次响应文件截止之日前，本代理机构可以对已发出的磋商文件进行必要的澄清或者修改，澄清或者修改的内容作为磋商文件的组成部分。澄清或者修改的内容可能影响响应文件编制的，本代理机构将在提交首次响应文件截止时间至少五日前，在</w:t>
      </w:r>
      <w:r>
        <w:rPr>
          <w:rFonts w:hint="eastAsia" w:ascii="宋体" w:hAnsi="宋体" w:eastAsia="宋体" w:cs="宋体"/>
          <w:color w:val="auto"/>
          <w:sz w:val="24"/>
          <w:szCs w:val="24"/>
          <w:highlight w:val="none"/>
          <w:lang w:eastAsia="zh-CN"/>
        </w:rPr>
        <w:t xml:space="preserve">江苏政府采购网</w:t>
      </w:r>
      <w:r>
        <w:rPr>
          <w:rFonts w:hint="eastAsia" w:ascii="宋体" w:hAnsi="宋体" w:eastAsia="宋体" w:cs="宋体"/>
          <w:color w:val="auto"/>
          <w:sz w:val="24"/>
          <w:szCs w:val="24"/>
          <w:highlight w:val="none"/>
        </w:rPr>
        <w:t xml:space="preserve">上发布公告形式通知所有获取磋商文件的供应商。不足五日的，代理机构应当顺延提交首次响应文件截止时间。</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6.2代理机构或采购人可以视采购项目的具体情况，组织供应商进行现场考察或召开磋商前答疑会，但不单独或分别组织只有一个供应商参加的现场考察和答疑会。</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7、磋商文件的解释</w:t>
      </w:r>
      <w:r>
        <w:rPr>
          <w:color w:val="auto"/>
          <w:highlight w:val="none"/>
        </w:rP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7.1 本磋商文件由</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eastAsia="宋体" w:cs="宋体"/>
          <w:bCs/>
          <w:color w:val="auto"/>
          <w:sz w:val="24"/>
          <w:szCs w:val="24"/>
          <w:highlight w:val="none"/>
        </w:rPr>
        <w:t xml:space="preserve">负责解释。</w:t>
      </w:r>
      <w:r>
        <w:rPr>
          <w:color w:val="auto"/>
          <w:highlight w:val="none"/>
        </w:rPr>
      </w:r>
    </w:p>
    <w:p>
      <w:pPr>
        <w:pStyle w:val="760"/>
        <w:ind w:left="0" w:firstLine="482"/>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二、采购文件的构成及澄清、修改</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磋商采购文件构成</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要求提供的工程内容、磋商过程及合同条款在</w:t>
      </w: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文件中均有说明，采购文件分为八章，各章的内容如下：</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fldChar w:fldCharType="end"/>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第二章 磋商须知</w:t>
      </w:r>
      <w:r>
        <w:rPr>
          <w:rFonts w:hint="eastAsia" w:ascii="宋体" w:hAnsi="宋体" w:eastAsia="宋体" w:cs="宋体"/>
          <w:color w:val="auto"/>
          <w:sz w:val="24"/>
          <w:szCs w:val="24"/>
          <w:highlight w:val="none"/>
        </w:rPr>
        <w:fldChar w:fldCharType="end"/>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 合同条款及格式</w:t>
      </w:r>
      <w:r>
        <w:rPr>
          <w:rFonts w:hint="eastAsia" w:ascii="宋体" w:hAnsi="宋体" w:eastAsia="宋体" w:cs="宋体"/>
          <w:color w:val="auto"/>
          <w:sz w:val="24"/>
          <w:szCs w:val="24"/>
          <w:highlight w:val="none"/>
        </w:rPr>
        <w:fldChar w:fldCharType="end"/>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四</w:t>
      </w:r>
      <w:r>
        <w:rPr>
          <w:rFonts w:hint="eastAsia" w:ascii="宋体" w:hAnsi="宋体" w:eastAsia="宋体" w:cs="宋体"/>
          <w:color w:val="auto"/>
          <w:sz w:val="24"/>
          <w:szCs w:val="24"/>
          <w:highlight w:val="none"/>
        </w:rPr>
        <w:t xml:space="preserve">章 </w:t>
      </w:r>
      <w:r>
        <w:rPr>
          <w:rFonts w:hint="eastAsia" w:ascii="宋体" w:hAnsi="宋体" w:eastAsia="宋体" w:cs="宋体"/>
          <w:color w:val="auto"/>
          <w:sz w:val="24"/>
          <w:szCs w:val="24"/>
          <w:highlight w:val="none"/>
          <w:lang w:eastAsia="zh-CN"/>
        </w:rPr>
        <w:t xml:space="preserve">技术标准和</w:t>
      </w:r>
      <w:r>
        <w:rPr>
          <w:rFonts w:hint="eastAsia" w:ascii="宋体" w:hAnsi="宋体" w:cs="宋体"/>
          <w:color w:val="auto"/>
          <w:sz w:val="24"/>
          <w:szCs w:val="24"/>
          <w:highlight w:val="none"/>
          <w:lang w:val="en-US" w:eastAsia="zh-CN"/>
        </w:rPr>
        <w:t xml:space="preserve">项目需求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章 工程量清单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rPr>
        <w:t xml:space="preserve">章 图纸和技术资料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章 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_Toc3613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章 竞争性磋商响应文件格式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对</w:t>
      </w:r>
      <w:r>
        <w:rPr>
          <w:rFonts w:hint="eastAsia" w:ascii="宋体" w:hAnsi="宋体" w:eastAsia="宋体" w:cs="宋体"/>
          <w:color w:val="auto"/>
          <w:sz w:val="24"/>
          <w:szCs w:val="24"/>
          <w:highlight w:val="none"/>
        </w:rPr>
        <w:t xml:space="preserve">采购文件所</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的澄清、修改，构成采购文件的组成部分。采购文件的澄清、修改内容与采购文件相互矛盾时，以发布时间在后的文件为准。</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.3 采购文件发布后，采购人确需对采购文件进行澄清或修改的，采购人将通过</w:t>
      </w:r>
      <w:r>
        <w:rPr>
          <w:rFonts w:hint="eastAsia" w:ascii="宋体" w:hAnsi="宋体" w:cs="宋体"/>
          <w:color w:val="auto"/>
          <w:sz w:val="24"/>
          <w:highlight w:val="none"/>
        </w:rPr>
        <w:t xml:space="preserve">“江苏政府采购网”</w:t>
      </w:r>
      <w:r>
        <w:rPr>
          <w:rFonts w:hint="eastAsia" w:ascii="宋体" w:hAnsi="宋体" w:eastAsia="宋体" w:cs="宋体"/>
          <w:color w:val="auto"/>
          <w:sz w:val="24"/>
          <w:szCs w:val="24"/>
          <w:highlight w:val="none"/>
        </w:rPr>
        <w:t xml:space="preserve">发给所有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澄清或修改文件按</w:t>
      </w:r>
      <w:r>
        <w:rPr>
          <w:rFonts w:hint="eastAsia" w:ascii="宋体" w:hAnsi="宋体" w:eastAsia="宋体" w:cs="宋体"/>
          <w:color w:val="auto"/>
          <w:sz w:val="24"/>
          <w:szCs w:val="24"/>
          <w:highlight w:val="none"/>
          <w:lang w:val="en-US" w:eastAsia="zh-CN"/>
        </w:rPr>
        <w:t xml:space="preserve">采购文件</w:t>
      </w:r>
      <w:r>
        <w:rPr>
          <w:rFonts w:hint="eastAsia" w:ascii="宋体" w:hAnsi="宋体" w:eastAsia="宋体" w:cs="宋体"/>
          <w:color w:val="auto"/>
          <w:sz w:val="24"/>
          <w:szCs w:val="24"/>
          <w:highlight w:val="none"/>
        </w:rPr>
        <w:t xml:space="preserve">规定发出之时起，视为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已收到该澄清文件。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未及时查阅采购文件的澄清，或未按照澄清后的采购文件编制响应文件，由此造成的后果由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rPr>
          <w:color w:val="auto"/>
          <w:highlight w:val="none"/>
        </w:rPr>
      </w:r>
    </w:p>
    <w:p>
      <w:pPr>
        <w:pStyle w:val="941"/>
        <w:ind w:left="0" w:firstLine="482"/>
        <w:jc w:val="center"/>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outlineLvl w:val="9"/>
      </w:pPr>
      <w:r>
        <w:rPr>
          <w:color w:val="auto"/>
          <w:highlight w:val="none"/>
        </w:rPr>
      </w:r>
      <w:bookmarkStart w:id="56" w:name="_Hlt26668969"/>
      <w:r>
        <w:rPr>
          <w:color w:val="auto"/>
          <w:highlight w:val="none"/>
        </w:rPr>
      </w:r>
      <w:bookmarkEnd w:id="56"/>
      <w:r>
        <w:rPr>
          <w:color w:val="auto"/>
          <w:highlight w:val="none"/>
        </w:rPr>
      </w:r>
      <w:bookmarkStart w:id="57" w:name="_Hlt26954830"/>
      <w:r>
        <w:rPr>
          <w:color w:val="auto"/>
          <w:highlight w:val="none"/>
        </w:rPr>
      </w:r>
      <w:bookmarkEnd w:id="57"/>
      <w:r>
        <w:rPr>
          <w:color w:val="auto"/>
          <w:highlight w:val="none"/>
        </w:rPr>
      </w:r>
      <w:bookmarkStart w:id="58" w:name="_Hlt26954828"/>
      <w:r>
        <w:rPr>
          <w:color w:val="auto"/>
          <w:highlight w:val="none"/>
        </w:rPr>
      </w:r>
      <w:bookmarkEnd w:id="58"/>
      <w:r>
        <w:rPr>
          <w:color w:val="auto"/>
          <w:highlight w:val="none"/>
        </w:rPr>
      </w:r>
      <w:bookmarkStart w:id="59" w:name="_Hlt26670345"/>
      <w:r>
        <w:rPr>
          <w:color w:val="auto"/>
          <w:highlight w:val="none"/>
        </w:rPr>
      </w:r>
      <w:bookmarkEnd w:id="59"/>
      <w:r>
        <w:rPr>
          <w:color w:val="auto"/>
          <w:highlight w:val="none"/>
        </w:rPr>
      </w:r>
      <w:bookmarkStart w:id="60" w:name="_Hlt26670354"/>
      <w:r>
        <w:rPr>
          <w:color w:val="auto"/>
          <w:highlight w:val="none"/>
        </w:rPr>
      </w:r>
      <w:bookmarkEnd w:id="60"/>
      <w:r>
        <w:rPr>
          <w:color w:val="auto"/>
          <w:highlight w:val="none"/>
        </w:rPr>
      </w:r>
      <w:bookmarkStart w:id="61" w:name="_Hlt26670348"/>
      <w:r>
        <w:rPr>
          <w:color w:val="auto"/>
          <w:highlight w:val="none"/>
        </w:rPr>
      </w:r>
      <w:bookmarkEnd w:id="61"/>
      <w:r>
        <w:rPr>
          <w:color w:val="auto"/>
          <w:highlight w:val="none"/>
        </w:rPr>
      </w:r>
      <w:bookmarkStart w:id="62" w:name="_Hlt26954832"/>
      <w:r>
        <w:rPr>
          <w:color w:val="auto"/>
          <w:highlight w:val="none"/>
        </w:rPr>
      </w:r>
      <w:bookmarkEnd w:id="62"/>
      <w:r>
        <w:rPr>
          <w:color w:val="auto"/>
          <w:highlight w:val="none"/>
        </w:rPr>
      </w:r>
      <w:bookmarkStart w:id="63" w:name="_Toc14577359"/>
      <w:r>
        <w:rPr>
          <w:color w:val="auto"/>
          <w:highlight w:val="none"/>
        </w:rPr>
      </w:r>
      <w:bookmarkStart w:id="64" w:name="_Toc513029221"/>
      <w:r>
        <w:rPr>
          <w:color w:val="auto"/>
          <w:highlight w:val="none"/>
        </w:rPr>
      </w:r>
      <w:bookmarkStart w:id="65" w:name="_Toc61149559"/>
      <w:r>
        <w:rPr>
          <w:rFonts w:hint="eastAsia" w:ascii="宋体" w:hAnsi="宋体" w:eastAsia="宋体" w:cs="宋体"/>
          <w:b/>
          <w:bCs/>
          <w:color w:val="auto"/>
          <w:sz w:val="24"/>
          <w:szCs w:val="24"/>
          <w:highlight w:val="none"/>
          <w:lang w:val="en-US" w:eastAsia="zh-CN"/>
        </w:rPr>
        <w:t xml:space="preserve">三、响应文件的报价</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磋商响应报价</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 xml:space="preserve">磋商响应报价应是采购文件所确定的采购范围内的全部工作内容的价格体现。其应包括但不限于</w:t>
      </w:r>
      <w:r>
        <w:rPr>
          <w:rFonts w:hint="eastAsia" w:ascii="宋体" w:hAnsi="宋体" w:cs="宋体"/>
          <w:color w:val="auto"/>
          <w:sz w:val="24"/>
          <w:szCs w:val="24"/>
          <w:highlight w:val="none"/>
          <w:lang w:val="en-US" w:eastAsia="zh-CN"/>
        </w:rPr>
        <w:t xml:space="preserve">合同清单内的施工</w:t>
      </w:r>
      <w:r>
        <w:rPr>
          <w:rFonts w:hint="eastAsia" w:ascii="宋体" w:hAnsi="宋体" w:eastAsia="宋体" w:cs="宋体"/>
          <w:color w:val="auto"/>
          <w:sz w:val="24"/>
          <w:szCs w:val="24"/>
          <w:highlight w:val="none"/>
        </w:rPr>
        <w:t xml:space="preserve">、设备、劳务、管理、材料、采购、运输、装卸、保管、制造、安装、维护、相关部门验收、不可预见费用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利润、税金及政策性文件规定的各项应有费用（含现场垃圾清理费用）。</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磋商响应报价方式：本工程采用下列第</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 xml:space="preserve">(1)</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rPr>
        <w:t xml:space="preserve">种方式。</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 固定单价报价</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应根据采购文件要求及施工现场条件，充分考虑施工期间各类建材的市场风险和政策性调整确定风险系数计入总报价，今后不作调整。设计变更和采购人要求变动的内容除外。结算方式在合同专用条款中明确。</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可调价格报价：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的磋商响应报价可根据合同实施期间的市场变化和政策性调整而变动。</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磋商响应报价的计价方法</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计价方法。</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应根据采购人提供的工程量清单计算单价、合价以及各种政策性费用。</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除非合同中另有规定，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在报价中所报的单价和合价，以及磋商响应报价汇总表中的价格均包括完成该工程项目的成本、利润、税金、开办费、技术措施费、机械进退场费、风险费、政策性文件规定费用等所有费用。</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施工用水电差价进报价，采购人不再另行支付。</w:t>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 本项目采用营改增后的一般计税方法计算报价。</w:t>
      </w:r>
      <w:r>
        <w:rPr>
          <w:color w:val="auto"/>
          <w:highlight w:val="none"/>
        </w:rPr>
      </w:r>
    </w:p>
    <w:p>
      <w:pPr>
        <w:pStyle w:val="754"/>
        <w:rPr>
          <w:rFonts w:hint="eastAsia"/>
          <w:color w:val="auto"/>
          <w:highlight w:val="none"/>
        </w:rPr>
      </w:pPr>
      <w:r>
        <w:rPr>
          <w:rFonts w:hint="eastAsia"/>
          <w:color w:val="auto"/>
          <w:highlight w:val="none"/>
        </w:rPr>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 可选用的工程预算、费用定额和政策性文件</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《建设工程工程量清单计价规范》(2013 版)、《江苏省建设工程费用定额》(2014)、《江苏省抗震加固工程计价表》(2009 版)、《江苏省房屋修缮工程计价表》(2009)、《江苏省建筑与装修工程计价定额》、《江苏省安装工程计价定额》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《江苏省房屋修缮工程预算定额》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《江苏省市政工程计价表》</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近期的《连云港市建设工程材料市场参考价》。</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政策性文件按照现行江苏省建设厅、连云港市建设局颁发的相关文件规定执行。</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 经磋商后，如果最后报价高于或低于磋商供应商在响应文件首次报价的，分项报价同比例调整。最低报价不能作为成交的保证。</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磋商响应货币</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磋商响</w:t>
      </w:r>
      <w:r>
        <w:rPr>
          <w:rFonts w:hint="eastAsia" w:ascii="宋体" w:hAnsi="宋体" w:eastAsia="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以人民币报价。</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磋商响应报价的编制要求</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必须按工程量清单，用综合单价法编制</w:t>
      </w:r>
      <w:r>
        <w:rPr>
          <w:rFonts w:hint="eastAsia" w:ascii="宋体" w:hAnsi="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报价。工程量清单数量、暂定价、</w:t>
      </w:r>
      <w:r>
        <w:rPr>
          <w:rFonts w:hint="eastAsia" w:ascii="宋体" w:hAnsi="宋体" w:cs="宋体"/>
          <w:color w:val="auto"/>
          <w:sz w:val="24"/>
          <w:highlight w:val="none"/>
        </w:rPr>
        <w:t xml:space="preserve">暂估价、</w:t>
      </w:r>
      <w:r>
        <w:rPr>
          <w:rFonts w:hint="eastAsia" w:ascii="宋体" w:hAnsi="宋体" w:eastAsia="宋体" w:cs="宋体"/>
          <w:color w:val="auto"/>
          <w:sz w:val="24"/>
          <w:szCs w:val="24"/>
          <w:highlight w:val="none"/>
        </w:rPr>
        <w:t xml:space="preserve">独立费不得变更、不得优惠，否则视为重大偏差。</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提供的图纸和工程量清单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如有调整以</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最终发出的修改通知中核实确认的工程量为准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中列出的工程项目和工程量计算填写单价、合价。此处的单价为综合单价，系指完成工程量清单中一个子目所需的人工费、机械费、材料费、管理费、利润等一切费用的总和，</w:t>
      </w:r>
      <w:r>
        <w:rPr>
          <w:rFonts w:hint="eastAsia" w:ascii="宋体" w:hAnsi="宋体" w:eastAsia="宋体" w:cs="宋体"/>
          <w:b/>
          <w:bCs/>
          <w:color w:val="auto"/>
          <w:sz w:val="24"/>
          <w:szCs w:val="24"/>
          <w:highlight w:val="none"/>
        </w:rPr>
        <w:t xml:space="preserve">磋商响应报价时列出综合单价的详细组价及单价分析表</w:t>
      </w:r>
      <w:r>
        <w:rPr>
          <w:rFonts w:hint="eastAsia" w:ascii="宋体" w:hAnsi="宋体" w:eastAsia="宋体" w:cs="宋体"/>
          <w:color w:val="auto"/>
          <w:sz w:val="24"/>
          <w:szCs w:val="24"/>
          <w:highlight w:val="none"/>
        </w:rPr>
        <w:t xml:space="preserve">。该综合单价将贯穿于磋商响应报价、工程款支付和竣工结算的始终，除本采购文件和合同另有约定外，不得调整。</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应根据本工程和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的自身情况，一次性地报出本工程的分部分项工程费、措施项目费、其它项目费、规费和税金。凡属于措施项目</w:t>
      </w:r>
      <w:r>
        <w:rPr>
          <w:rFonts w:hint="eastAsia" w:ascii="宋体" w:hAnsi="宋体" w:cs="宋体"/>
          <w:color w:val="auto"/>
          <w:sz w:val="24"/>
          <w:szCs w:val="24"/>
          <w:highlight w:val="none"/>
          <w:lang w:eastAsia="zh-CN"/>
        </w:rPr>
        <w:t xml:space="preserve">和其他</w:t>
      </w:r>
      <w:r>
        <w:rPr>
          <w:rFonts w:hint="eastAsia" w:ascii="宋体" w:hAnsi="宋体" w:eastAsia="宋体" w:cs="宋体"/>
          <w:color w:val="auto"/>
          <w:sz w:val="24"/>
          <w:szCs w:val="24"/>
          <w:highlight w:val="none"/>
        </w:rPr>
        <w:t xml:space="preserve">项目费，而</w:t>
      </w:r>
      <w:r>
        <w:rPr>
          <w:rFonts w:hint="eastAsia" w:ascii="宋体" w:hAnsi="宋体" w:eastAsia="宋体" w:cs="宋体"/>
          <w:color w:val="auto"/>
          <w:sz w:val="24"/>
          <w:szCs w:val="24"/>
          <w:highlight w:val="none"/>
          <w:lang w:eastAsia="zh-CN"/>
        </w:rPr>
        <w:t xml:space="preserve">供应商</w:t>
      </w:r>
      <w:r>
        <w:rPr>
          <w:rFonts w:hint="eastAsia" w:ascii="宋体" w:hAnsi="宋体" w:cs="宋体"/>
          <w:color w:val="auto"/>
          <w:sz w:val="24"/>
          <w:szCs w:val="24"/>
          <w:highlight w:val="none"/>
          <w:lang w:eastAsia="zh-CN"/>
        </w:rPr>
        <w:t xml:space="preserve">未做</w:t>
      </w:r>
      <w:r>
        <w:rPr>
          <w:rFonts w:hint="eastAsia" w:ascii="宋体" w:hAnsi="宋体" w:eastAsia="宋体" w:cs="宋体"/>
          <w:color w:val="auto"/>
          <w:sz w:val="24"/>
          <w:szCs w:val="24"/>
          <w:highlight w:val="none"/>
        </w:rPr>
        <w:t xml:space="preserve">相应报价的，将被认为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已经在磋商响应报价的其它项目中</w:t>
      </w:r>
      <w:r>
        <w:rPr>
          <w:rFonts w:hint="eastAsia" w:ascii="宋体" w:hAnsi="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了相应的考虑，无论出现何种情况，此两项费用在工程决算时均不做调整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包括工程施工过程中对同样的和类似的工程进行设计变更部分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color w:val="auto"/>
          <w:highlight w:val="none"/>
        </w:rPr>
      </w:r>
    </w:p>
    <w:p>
      <w:pPr>
        <w:ind w:left="0" w:firstLine="480"/>
        <w:jc w:val="both"/>
        <w:keepLines w:val="0"/>
        <w:keepNext w:val="0"/>
        <w:pageBreakBefore w:val="0"/>
        <w:spacing w:line="360" w:lineRule="auto"/>
        <w:widowControl w:val="off"/>
        <w:tabs>
          <w:tab w:val="left" w:pos="900" w:leader="none"/>
        </w:tabs>
        <w:rPr>
          <w:color w:val="auto"/>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eastAsia="zh-CN"/>
        </w:rPr>
        <w:t xml:space="preserve">本项目不组织供应商进行现场踏勘。供应商应根据自身情况，自行决定是否对本项目的施工现场及周围环境自行踏勘。在踏勘过程中，所有费用、风险、责任和意外事故等均由供应商自行承担。</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供应商自行踏勘现场所获得的资料将被认为已了解本项目的现场情况，掌握了编制磋商文件的有关条件。采购人向供应商提供的有关现场资料和数据，是采购人可供供应商利用的资料。采购人对供应商由此做出的推论、理解和结论概不负责。</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供应商及其人员在自行踏勘过程中，无论是否经过采购人的允许，可视为踏勘目的进入采购人的现场，但供应商及其人员不得因此使采购人承担有关的责任和蒙受损失。</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.5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应对工程量清单中的每一个子目均列出单价、合价，没有填写单价、合价的项目，其费用将被认为已包括在工程量清单</w:t>
      </w:r>
      <w:r>
        <w:rPr>
          <w:rFonts w:hint="eastAsia" w:ascii="宋体" w:hAnsi="宋体" w:cs="宋体"/>
          <w:color w:val="auto"/>
          <w:sz w:val="24"/>
          <w:szCs w:val="24"/>
          <w:highlight w:val="none"/>
          <w:lang w:eastAsia="zh-CN"/>
        </w:rPr>
        <w:t xml:space="preserve">其他项目的</w:t>
      </w:r>
      <w:r>
        <w:rPr>
          <w:rFonts w:hint="eastAsia" w:ascii="宋体" w:hAnsi="宋体" w:eastAsia="宋体" w:cs="宋体"/>
          <w:color w:val="auto"/>
          <w:sz w:val="24"/>
          <w:szCs w:val="24"/>
          <w:highlight w:val="none"/>
        </w:rPr>
        <w:t xml:space="preserve">单价、合价中。</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.6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在磋商响应报价时应尽可能详细描述编码对应的</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及项目特征。</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的单价，不论其对应的项目特征是否描述完全，都将被视为已包括在《建设工程工程量清单计价规范》所对应的项目编码和</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rPr>
        <w:t xml:space="preserve">的所有工程内容及完成此项工作内容而必须的各种辅助工作中。</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.7 工程实物量清单项目中有暂定价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须按照采购人所确定的暂定价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不得变动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计算主材费，</w:t>
      </w:r>
      <w:r>
        <w:rPr>
          <w:rFonts w:hint="eastAsia" w:ascii="宋体" w:hAnsi="宋体" w:cs="宋体"/>
          <w:color w:val="auto"/>
          <w:sz w:val="24"/>
          <w:szCs w:val="24"/>
          <w:highlight w:val="none"/>
          <w:lang w:eastAsia="zh-CN"/>
        </w:rPr>
        <w:t xml:space="preserve">加上其他</w:t>
      </w:r>
      <w:r>
        <w:rPr>
          <w:rFonts w:hint="eastAsia" w:ascii="宋体" w:hAnsi="宋体" w:eastAsia="宋体" w:cs="宋体"/>
          <w:color w:val="auto"/>
          <w:sz w:val="24"/>
          <w:szCs w:val="24"/>
          <w:highlight w:val="none"/>
        </w:rPr>
        <w:t xml:space="preserve">除主材之外的一切费用构成综合单价计算合价。结算时采购人按照实际发生的价格对暂定价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调整价差，价差部分的费用组成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不含税金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不随暂定价材料价格变化而调整。所有暂定价材料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价格均为到工地院内卸车价。暂定价材料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二次搬运及现场保管、清理等发生的费用，由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在磋商响应报价中自行考虑。暂定价材料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甲控乙购材料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具体内容详见工程量清单编制说明。</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.8 下列费用为不可竞争费用，不可竞争费用应严格执行有关费用标准，不得降低标准进行投标，否则作废标处理。</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(1)规费：包括环境保护税、社会保障费及住房公积金，应按照有权部门规定计取。 </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(2)税金：包括按规定必须计入工程造价的营业税、城市维护建设税和教育费附加，按照不含税工程造价乘以工程所在地的税率计算。 </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(3)安全文明施工费：包括安全文明施工基本费、省级标化增加费、扬尘费，应按照有权部门规定计取。 </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.9 本工程由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自购的材料</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须编制自购主要材料一览表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注明品牌、规格、型号、产地、数量、单价和合价。报价中含材料价差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结算时不予调整。</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.10 </w:t>
      </w:r>
      <w:r>
        <w:rPr>
          <w:rFonts w:hint="eastAsia" w:ascii="宋体" w:hAnsi="宋体" w:eastAsia="宋体" w:cs="宋体"/>
          <w:b/>
          <w:bCs/>
          <w:color w:val="auto"/>
          <w:sz w:val="24"/>
          <w:szCs w:val="24"/>
          <w:highlight w:val="none"/>
        </w:rPr>
        <w:t xml:space="preserve">所有材料、构件等检验、检测费均由</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在磋商响应报价时根据自身预测自行报价，计入磋商响应报价，施工过程中发生的一切材料检测费用均由成交人支付</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包括新材料、新工艺、新设备的实验费及环境检测费等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.11 采购人向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提供的有关施工现场的资料和数据是采购人现有的能使</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利用的资料。采购人对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由此做出的推论、理解和结论概不负责。</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.12 因有工程变更造成的工程量清单增减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按业主签证的设计变更通知单和现场监理签证，竣工结算时进行调整。工程变更调整的原则为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报价中原有的子项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按磋商响应报价的单价计算；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新增加的近似子项参照相近的子项单价计算；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无相同或近似的子项，由乙方报价并经监理及业主审核确定。</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应当在采购文件中详细、定量地列出优惠让利的理由及所采取的技术措施。</w:t>
      </w:r>
      <w:r>
        <w:rPr>
          <w:color w:val="auto"/>
          <w:highlight w:val="none"/>
        </w:rPr>
      </w:r>
    </w:p>
    <w:p>
      <w:pPr>
        <w:pStyle w:val="941"/>
        <w:ind w:left="0" w:firstLine="482"/>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color w:val="auto"/>
          <w:highlight w:val="none"/>
        </w:rPr>
      </w:r>
      <w:bookmarkStart w:id="66" w:name="_Toc462564072"/>
      <w:r>
        <w:rPr>
          <w:color w:val="auto"/>
          <w:highlight w:val="none"/>
        </w:rPr>
      </w:r>
      <w:bookmarkStart w:id="67" w:name="_Toc513029213"/>
      <w:r>
        <w:rPr>
          <w:color w:val="auto"/>
          <w:highlight w:val="none"/>
        </w:rPr>
      </w:r>
      <w:bookmarkStart w:id="68" w:name="_Toc14577351"/>
      <w:r>
        <w:rPr>
          <w:color w:val="auto"/>
          <w:highlight w:val="none"/>
        </w:rPr>
      </w:r>
      <w:bookmarkStart w:id="69" w:name="_Toc61149553"/>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、磋商响应文件的编制</w:t>
      </w:r>
      <w:bookmarkEnd w:id="63"/>
      <w:r>
        <w:rPr>
          <w:color w:val="auto"/>
          <w:highlight w:val="none"/>
        </w:rPr>
      </w:r>
      <w:bookmarkEnd w:id="64"/>
      <w:r>
        <w:rPr>
          <w:color w:val="auto"/>
          <w:highlight w:val="none"/>
        </w:rPr>
      </w:r>
      <w:bookmarkEnd w:id="65"/>
      <w:r>
        <w:rPr>
          <w:color w:val="auto"/>
          <w:highlight w:val="none"/>
        </w:rPr>
      </w:r>
      <w:bookmarkEnd w:id="66"/>
      <w:r>
        <w:rPr>
          <w:color w:val="auto"/>
          <w:highlight w:val="none"/>
        </w:rPr>
      </w:r>
      <w:bookmarkEnd w:id="67"/>
      <w:r>
        <w:rPr>
          <w:color w:val="auto"/>
          <w:highlight w:val="none"/>
        </w:rPr>
      </w:r>
      <w:bookmarkEnd w:id="68"/>
      <w:r>
        <w:rPr>
          <w:color w:val="auto"/>
          <w:highlight w:val="none"/>
        </w:rPr>
      </w:r>
      <w:bookmarkEnd w:id="69"/>
      <w:r>
        <w:rPr>
          <w:color w:val="auto"/>
          <w:highlight w:val="none"/>
        </w:rPr>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color w:val="auto"/>
          <w:highlight w:val="none"/>
        </w:rPr>
      </w:r>
      <w:bookmarkStart w:id="70" w:name="_Hlt26954749"/>
      <w:r>
        <w:rPr>
          <w:color w:val="auto"/>
          <w:highlight w:val="none"/>
        </w:rPr>
      </w:r>
      <w:bookmarkEnd w:id="70"/>
      <w:r>
        <w:rPr>
          <w:color w:val="auto"/>
          <w:highlight w:val="none"/>
        </w:rPr>
      </w:r>
      <w:bookmarkStart w:id="71" w:name="_Hlt26954850"/>
      <w:r>
        <w:rPr>
          <w:color w:val="auto"/>
          <w:highlight w:val="none"/>
        </w:rPr>
      </w:r>
      <w:bookmarkEnd w:id="71"/>
      <w:r>
        <w:rPr>
          <w:color w:val="auto"/>
          <w:highlight w:val="none"/>
        </w:rPr>
      </w:r>
      <w:bookmarkStart w:id="72" w:name="_Hlt26954739"/>
      <w:r>
        <w:rPr>
          <w:color w:val="auto"/>
          <w:highlight w:val="none"/>
        </w:rPr>
      </w:r>
      <w:bookmarkEnd w:id="72"/>
      <w:r>
        <w:rPr>
          <w:color w:val="auto"/>
          <w:highlight w:val="none"/>
        </w:rPr>
      </w:r>
      <w:bookmarkStart w:id="73" w:name="_Hlt26954734"/>
      <w:r>
        <w:rPr>
          <w:color w:val="auto"/>
          <w:highlight w:val="none"/>
        </w:rPr>
      </w:r>
      <w:bookmarkEnd w:id="73"/>
      <w:r>
        <w:rPr>
          <w:color w:val="auto"/>
          <w:highlight w:val="none"/>
        </w:rPr>
      </w:r>
      <w:bookmarkStart w:id="74" w:name="_Hlt26954854"/>
      <w:r>
        <w:rPr>
          <w:color w:val="auto"/>
          <w:highlight w:val="none"/>
        </w:rPr>
      </w:r>
      <w:bookmarkEnd w:id="74"/>
      <w:r>
        <w:rPr>
          <w:color w:val="auto"/>
          <w:highlight w:val="none"/>
        </w:rPr>
      </w:r>
      <w:bookmarkStart w:id="75" w:name="_Hlt26954852"/>
      <w:r>
        <w:rPr>
          <w:color w:val="auto"/>
          <w:highlight w:val="none"/>
        </w:rPr>
      </w:r>
      <w:bookmarkEnd w:id="75"/>
      <w:r>
        <w:rPr>
          <w:color w:val="auto"/>
          <w:highlight w:val="none"/>
        </w:rPr>
      </w:r>
      <w:bookmarkStart w:id="76" w:name="_Hlt26670493"/>
      <w:r>
        <w:rPr>
          <w:color w:val="auto"/>
          <w:highlight w:val="none"/>
        </w:rPr>
      </w:r>
      <w:bookmarkEnd w:id="76"/>
      <w:r>
        <w:rPr>
          <w:color w:val="auto"/>
          <w:highlight w:val="none"/>
        </w:rPr>
      </w:r>
      <w:bookmarkStart w:id="77" w:name="_Hlt26670489"/>
      <w:r>
        <w:rPr>
          <w:color w:val="auto"/>
          <w:highlight w:val="none"/>
        </w:rPr>
      </w:r>
      <w:bookmarkEnd w:id="77"/>
      <w:r>
        <w:rPr>
          <w:color w:val="auto"/>
          <w:highlight w:val="none"/>
        </w:rPr>
      </w:r>
      <w:bookmarkStart w:id="78" w:name="_Toc513029224"/>
      <w:r>
        <w:rPr>
          <w:color w:val="auto"/>
          <w:highlight w:val="none"/>
        </w:rPr>
      </w:r>
      <w:bookmarkStart w:id="79" w:name="_Toc61149562"/>
      <w:r>
        <w:rPr>
          <w:color w:val="auto"/>
          <w:highlight w:val="none"/>
        </w:rPr>
      </w:r>
      <w:bookmarkStart w:id="80" w:name="_Toc14577362"/>
      <w:r>
        <w:rPr>
          <w:rFonts w:hint="eastAsia" w:ascii="宋体" w:hAnsi="宋体" w:eastAsia="宋体" w:cs="宋体"/>
          <w:color w:val="auto"/>
          <w:sz w:val="24"/>
          <w:highlight w:val="none"/>
          <w:lang w:bidi="ar"/>
        </w:rPr>
        <w:t xml:space="preserve">1.响应文件的语言及度量衡单位</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1.1供应商提交的响应文件以及供应商与采购人或采购代理机构就有关磋商的所有来往通知、函件和文件均应使用简体中文。</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1.2 除技术性能另有规定外，响应文件所使用的度量衡单位，均须采用国家法定计量单位。</w:t>
      </w:r>
      <w:r>
        <w:rPr>
          <w:color w:val="auto"/>
          <w:highlight w:val="none"/>
        </w:rPr>
      </w:r>
    </w:p>
    <w:p>
      <w:pPr>
        <w:ind w:firstLine="482"/>
        <w:jc w:val="left"/>
        <w:pageBreakBefore w:val="0"/>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2.响应文件构成</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2.1 供应商编写的响应文件应包括</w:t>
      </w:r>
      <w:r>
        <w:rPr>
          <w:rFonts w:hint="eastAsia" w:ascii="宋体" w:hAnsi="宋体" w:eastAsia="宋体" w:cs="宋体"/>
          <w:b/>
          <w:bCs/>
          <w:color w:val="auto"/>
          <w:sz w:val="24"/>
          <w:highlight w:val="none"/>
          <w:lang w:bidi="ar"/>
        </w:rPr>
        <w:t xml:space="preserve">资格审查证明材料文件、商务技术标文件、价格标文件</w:t>
      </w:r>
      <w:r>
        <w:rPr>
          <w:rFonts w:hint="eastAsia" w:ascii="宋体" w:hAnsi="宋体" w:eastAsia="宋体" w:cs="宋体"/>
          <w:color w:val="auto"/>
          <w:sz w:val="24"/>
          <w:highlight w:val="none"/>
          <w:lang w:bidi="ar"/>
        </w:rPr>
        <w:t xml:space="preserve">。</w:t>
      </w:r>
      <w:r>
        <w:rPr>
          <w:rFonts w:hint="eastAsia" w:asciiTheme="minorEastAsia" w:hAnsiTheme="minorEastAsia" w:eastAsiaTheme="minorEastAsia" w:cstheme="minorEastAsia"/>
          <w:b/>
          <w:bCs/>
          <w:color w:val="auto"/>
          <w:sz w:val="24"/>
          <w:szCs w:val="24"/>
          <w:highlight w:val="none"/>
        </w:rPr>
        <w:t xml:space="preserve">如标书制作工具</w:t>
      </w:r>
      <w:r>
        <w:rPr>
          <w:rFonts w:hint="eastAsia" w:eastAsia="宋体" w:asciiTheme="minorEastAsia" w:hAnsiTheme="minorEastAsia" w:cstheme="minorEastAsia"/>
          <w:b/>
          <w:bCs/>
          <w:color w:val="auto"/>
          <w:sz w:val="24"/>
          <w:szCs w:val="24"/>
          <w:highlight w:val="none"/>
          <w:lang w:eastAsia="zh-CN"/>
        </w:rPr>
        <w:t xml:space="preserve">中的</w:t>
      </w:r>
      <w:r>
        <w:rPr>
          <w:rFonts w:hint="eastAsia" w:asciiTheme="minorEastAsia" w:hAnsiTheme="minorEastAsia" w:eastAsiaTheme="minorEastAsia" w:cstheme="minorEastAsia"/>
          <w:b/>
          <w:bCs/>
          <w:color w:val="auto"/>
          <w:sz w:val="24"/>
          <w:szCs w:val="24"/>
          <w:highlight w:val="none"/>
        </w:rPr>
        <w:t xml:space="preserve">格式和内容与“江苏政府采购网”发布的磋商文件不一致，请以“江苏政府采购网”发布的磋商文件为准。</w:t>
      </w:r>
      <w:r>
        <w:rPr>
          <w:color w:val="auto"/>
          <w:highlight w:val="none"/>
        </w:rPr>
      </w:r>
    </w:p>
    <w:p>
      <w:pPr>
        <w:ind w:firstLine="482"/>
        <w:jc w:val="left"/>
        <w:pageBreakBefore w:val="0"/>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3.磋商响应有效期</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磋商响应有效期为采购文件规定的响应文件提交截止时间后</w:t>
      </w:r>
      <w:r>
        <w:rPr>
          <w:rFonts w:hint="eastAsia" w:ascii="宋体" w:hAnsi="宋体" w:eastAsia="宋体" w:cs="宋体"/>
          <w:b/>
          <w:bCs/>
          <w:color w:val="auto"/>
          <w:sz w:val="24"/>
          <w:highlight w:val="none"/>
          <w:lang w:bidi="ar"/>
        </w:rPr>
        <w:t xml:space="preserve">六十（60）天</w:t>
      </w:r>
      <w:r>
        <w:rPr>
          <w:rFonts w:hint="eastAsia" w:ascii="宋体" w:hAnsi="宋体" w:eastAsia="宋体" w:cs="宋体"/>
          <w:color w:val="auto"/>
          <w:sz w:val="24"/>
          <w:highlight w:val="none"/>
          <w:lang w:bidi="ar"/>
        </w:rPr>
        <w:t xml:space="preserve">。磋商响应有效期比规定短的将被视为非实质性响应而予以拒绝。</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 磋商响应有效期的延长</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5.电子响应文件其他要求</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5.1 电子招标投标交易平台（即“苏采云”系统）相关要求是本采购文件的组成部分。</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5.2 供应商应对CA证书妥善保管，如被他人盗用投标，因此带来的</w:t>
      </w:r>
      <w:r>
        <w:rPr>
          <w:rFonts w:hint="eastAsia" w:ascii="宋体" w:hAnsi="宋体" w:cs="宋体"/>
          <w:color w:val="auto"/>
          <w:sz w:val="24"/>
          <w:highlight w:val="none"/>
          <w:lang w:eastAsia="zh-CN" w:bidi="ar"/>
        </w:rPr>
        <w:t xml:space="preserve">后果</w:t>
      </w:r>
      <w:r>
        <w:rPr>
          <w:rFonts w:hint="eastAsia" w:ascii="宋体" w:hAnsi="宋体" w:eastAsia="宋体" w:cs="宋体"/>
          <w:color w:val="auto"/>
          <w:sz w:val="24"/>
          <w:highlight w:val="none"/>
          <w:lang w:bidi="ar"/>
        </w:rPr>
        <w:t xml:space="preserve">均由供应商自行承担。</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 供应商应当对采购文件提出的实质性要求和条件作出实质性响应，并在电子投标系统逐条应答。</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5.4 供应商应对要求提供的资格证明文件（如资质证书、资格证书）、技术资料（如白皮书、彩页、手册、检测报告等）扫描上传至投标系统。</w:t>
      </w:r>
      <w:r>
        <w:rPr>
          <w:color w:val="auto"/>
          <w:highlight w:val="none"/>
        </w:rPr>
      </w:r>
    </w:p>
    <w:p>
      <w:pPr>
        <w:ind w:firstLine="480"/>
        <w:jc w:val="left"/>
        <w:pageBreakBefore w:val="0"/>
        <w:spacing w:line="360" w:lineRule="auto"/>
        <w:widowControl/>
        <w:rPr>
          <w:rFonts w:ascii="宋体" w:hAnsi="宋体" w:eastAsia="宋体" w:cs="宋体"/>
          <w:color w:val="auto"/>
          <w:highlight w:val="none"/>
        </w:rPr>
      </w:pPr>
      <w:r>
        <w:rPr>
          <w:rFonts w:hint="eastAsia" w:ascii="宋体" w:hAnsi="宋体" w:eastAsia="宋体" w:cs="宋体"/>
          <w:color w:val="auto"/>
          <w:sz w:val="24"/>
          <w:highlight w:val="none"/>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rPr>
          <w:color w:val="auto"/>
          <w:highlight w:val="none"/>
        </w:rPr>
      </w:r>
    </w:p>
    <w:p>
      <w:pPr>
        <w:pStyle w:val="941"/>
        <w:ind w:left="0" w:firstLine="482"/>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、响应文件的递交</w:t>
      </w:r>
      <w:bookmarkEnd w:id="78"/>
      <w:r>
        <w:rPr>
          <w:color w:val="auto"/>
          <w:highlight w:val="none"/>
        </w:rPr>
      </w:r>
      <w:bookmarkEnd w:id="79"/>
      <w:r>
        <w:rPr>
          <w:color w:val="auto"/>
          <w:highlight w:val="none"/>
        </w:rPr>
      </w:r>
      <w:bookmarkEnd w:id="80"/>
      <w:r>
        <w:rPr>
          <w:color w:val="auto"/>
          <w:highlight w:val="none"/>
        </w:rPr>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color w:val="auto"/>
          <w:highlight w:val="none"/>
        </w:rPr>
      </w:r>
      <w:bookmarkStart w:id="81" w:name="_Hlt26954856"/>
      <w:r>
        <w:rPr>
          <w:color w:val="auto"/>
          <w:highlight w:val="none"/>
        </w:rPr>
      </w:r>
      <w:bookmarkEnd w:id="81"/>
      <w:r>
        <w:rPr>
          <w:color w:val="auto"/>
          <w:highlight w:val="none"/>
        </w:rPr>
      </w:r>
      <w:bookmarkStart w:id="82" w:name="_Hlt26954864"/>
      <w:r>
        <w:rPr>
          <w:color w:val="auto"/>
          <w:highlight w:val="none"/>
        </w:rPr>
      </w:r>
      <w:bookmarkEnd w:id="82"/>
      <w:r>
        <w:rPr>
          <w:color w:val="auto"/>
          <w:highlight w:val="none"/>
        </w:rPr>
      </w:r>
      <w:bookmarkStart w:id="83" w:name="_Hlt26670523"/>
      <w:r>
        <w:rPr>
          <w:color w:val="auto"/>
          <w:highlight w:val="none"/>
        </w:rPr>
      </w:r>
      <w:bookmarkEnd w:id="83"/>
      <w:r>
        <w:rPr>
          <w:rFonts w:hint="eastAsia" w:ascii="宋体" w:hAnsi="宋体" w:eastAsia="宋体" w:cs="宋体"/>
          <w:color w:val="auto"/>
          <w:sz w:val="24"/>
          <w:highlight w:val="none"/>
          <w:lang w:bidi="ar"/>
        </w:rPr>
        <w:t xml:space="preserve">1.响应文件的提交</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1.1 线上提交与接收地点：供应商应当通过“苏采云”系统提交数据电文形式的响应文件（即电子投标），“苏采云”系统自动接收。</w:t>
      </w:r>
      <w:r>
        <w:rPr>
          <w:color w:val="auto"/>
          <w:highlight w:val="none"/>
        </w:rPr>
      </w:r>
    </w:p>
    <w:p>
      <w:pPr>
        <w:ind w:firstLine="482"/>
        <w:jc w:val="left"/>
        <w:pageBreakBefore w:val="0"/>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2.响应文件截止日期</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2.1 供应商上传电子响应文件的时间不得迟于磋商公告中规定的响应文件提交截止时间。</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供应商应充分考虑到网络环境、网络带宽等风险因素，如因供应商自身原因造成的电子响应文件上传不成功由供应商自行承担全部责任。</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3.响应文件的密封（加密）要求：</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3.2 供应商须通过“苏采云”系统提供的政府采购客户端工具（使用“CA数字证书”）加盖电子签章。</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说明：供应商应在用CA数字证书以及自备的能够登录“苏采云”系统的笔记本电脑，在达到开标时间后，使用CA数字证书解密各自响应文件。</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3.3 供应商未按规定加密的响应文件，“苏采云”系统应当拒收并提示。</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4.响应文件的拒收</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4.1 采购代理机构拒绝接收在其规定的响应文件提交截止时间后上传的任何响应文件。</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 响应文件的撤回和修改</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5.1 响应文件的撤回</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5.1.1 电子响应文件的撤回</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供应商可在响应文件提交截止时间前，撤回其电子响应文件，具体操作方法见</w:t>
      </w:r>
      <w:r>
        <w:rPr>
          <w:rFonts w:hint="eastAsia" w:ascii="宋体" w:hAnsi="宋体" w:eastAsia="宋体" w:cs="宋体"/>
          <w:b/>
          <w:bCs/>
          <w:color w:val="auto"/>
          <w:sz w:val="24"/>
          <w:highlight w:val="none"/>
          <w:lang w:bidi="ar"/>
        </w:rPr>
        <w:t xml:space="preserve">《</w:t>
      </w:r>
      <w:r>
        <w:rPr>
          <w:rFonts w:hint="eastAsia" w:ascii="宋体" w:hAnsi="宋体" w:cs="宋体"/>
          <w:b/>
          <w:bCs/>
          <w:color w:val="auto"/>
          <w:sz w:val="24"/>
          <w:highlight w:val="none"/>
          <w:lang w:val="en-US" w:eastAsia="zh-CN" w:bidi="ar"/>
        </w:rPr>
        <w:t xml:space="preserve">操作手册</w:t>
      </w:r>
      <w:r>
        <w:rPr>
          <w:rFonts w:hint="eastAsia" w:ascii="宋体" w:hAnsi="宋体" w:eastAsia="宋体" w:cs="宋体"/>
          <w:b/>
          <w:bCs/>
          <w:color w:val="auto"/>
          <w:sz w:val="24"/>
          <w:highlight w:val="none"/>
          <w:lang w:bidi="ar"/>
        </w:rPr>
        <w:t xml:space="preserve">》。</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5.1.2 供应商撤回电子响应文件，则认为其不再参与本项目磋商活动。</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5.2 响应文件的修改</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供应商可在响应文件提交截止时间前，对其电子响应文件进行修改。</w:t>
      </w:r>
      <w:r>
        <w:rPr>
          <w:color w:val="auto"/>
          <w:highlight w:val="none"/>
        </w:rPr>
      </w:r>
    </w:p>
    <w:p>
      <w:pPr>
        <w:ind w:firstLine="480"/>
        <w:jc w:val="left"/>
        <w:pageBreakBefore w:val="0"/>
        <w:spacing w:line="360" w:lineRule="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5.3 在响应文件提交截止时间之后，供应商不得对其电子响应文件</w:t>
      </w:r>
      <w:r>
        <w:rPr>
          <w:rFonts w:hint="eastAsia" w:ascii="宋体" w:hAnsi="宋体" w:cs="宋体"/>
          <w:color w:val="auto"/>
          <w:sz w:val="24"/>
          <w:highlight w:val="none"/>
          <w:lang w:eastAsia="zh-CN" w:bidi="ar"/>
        </w:rPr>
        <w:t xml:space="preserve">做</w:t>
      </w:r>
      <w:r>
        <w:rPr>
          <w:rFonts w:hint="eastAsia" w:ascii="宋体" w:hAnsi="宋体" w:eastAsia="宋体" w:cs="宋体"/>
          <w:color w:val="auto"/>
          <w:sz w:val="24"/>
          <w:highlight w:val="none"/>
          <w:lang w:bidi="ar"/>
        </w:rPr>
        <w:t xml:space="preserve">任何修改。</w:t>
      </w:r>
      <w:r>
        <w:rPr>
          <w:color w:val="auto"/>
          <w:highlight w:val="none"/>
        </w:rPr>
      </w:r>
    </w:p>
    <w:p>
      <w:pPr>
        <w:ind w:firstLine="480"/>
        <w:jc w:val="left"/>
        <w:pageBreakBefore w:val="0"/>
        <w:spacing w:line="360" w:lineRule="auto"/>
        <w:widowControl/>
        <w:rPr>
          <w:rFonts w:ascii="宋体" w:hAnsi="宋体" w:eastAsia="宋体" w:cs="宋体"/>
          <w:b/>
          <w:bCs/>
          <w:color w:val="auto"/>
          <w:sz w:val="24"/>
          <w:highlight w:val="none"/>
        </w:rPr>
      </w:pPr>
      <w:r>
        <w:rPr>
          <w:rFonts w:hint="eastAsia" w:ascii="宋体" w:hAnsi="宋体" w:eastAsia="宋体" w:cs="宋体"/>
          <w:color w:val="auto"/>
          <w:sz w:val="24"/>
          <w:highlight w:val="none"/>
          <w:lang w:bidi="ar"/>
        </w:rPr>
        <w:t xml:space="preserve">5.4 在响应文件截止时间至响应文件中规定的磋商响应有效期满之间的这段时间内，供应商不得撤回其响应文件。</w:t>
      </w:r>
      <w:r>
        <w:rPr>
          <w:color w:val="auto"/>
          <w:highlight w:val="none"/>
        </w:rPr>
      </w:r>
    </w:p>
    <w:p>
      <w:pPr>
        <w:pStyle w:val="941"/>
        <w:ind w:left="0" w:firstLine="482"/>
        <w:jc w:val="center"/>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、磋商程序及评审方法</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1.磋商仪式</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1.1采购人或采购代理机构将在磋商公告中规定的时间和地点组织磋商开始仪式。</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w:t>
      </w:r>
      <w:r>
        <w:rPr>
          <w:rFonts w:hint="eastAsia" w:ascii="宋体" w:hAnsi="宋体" w:cs="宋体"/>
          <w:b w:val="0"/>
          <w:bCs w:val="0"/>
          <w:color w:val="auto"/>
          <w:sz w:val="24"/>
          <w:szCs w:val="24"/>
          <w:highlight w:val="none"/>
          <w:lang w:val="en-US" w:eastAsia="zh-CN"/>
        </w:rPr>
        <w:t xml:space="preserve">不在要求</w:t>
      </w:r>
      <w:r>
        <w:rPr>
          <w:rFonts w:hint="eastAsia" w:ascii="宋体" w:hAnsi="宋体" w:eastAsia="宋体" w:cs="宋体"/>
          <w:b w:val="0"/>
          <w:bCs w:val="0"/>
          <w:color w:val="auto"/>
          <w:sz w:val="24"/>
          <w:szCs w:val="24"/>
          <w:highlight w:val="none"/>
          <w:lang w:val="en-US" w:eastAsia="zh-CN"/>
        </w:rPr>
        <w:t xml:space="preserve">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2.磋商小组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2.1磋商开始仪式结束后，采购人或采购代理机构将立即组织磋商小组进行评审。</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2.3超过公开招标限额标准的项目，磋商小组应当由5人以上单数组成。</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2.5磋商小组独立工作，负责评审所有响应文件并确定成交</w:t>
      </w:r>
      <w:r>
        <w:rPr>
          <w:rFonts w:hint="eastAsia" w:ascii="宋体" w:hAnsi="宋体" w:cs="宋体"/>
          <w:b w:val="0"/>
          <w:bCs w:val="0"/>
          <w:color w:val="auto"/>
          <w:sz w:val="24"/>
          <w:szCs w:val="24"/>
          <w:highlight w:val="none"/>
          <w:lang w:val="en-US" w:eastAsia="zh-CN"/>
        </w:rPr>
        <w:t xml:space="preserve">候选人</w:t>
      </w:r>
      <w:r>
        <w:rPr>
          <w:rFonts w:hint="eastAsia" w:ascii="宋体" w:hAnsi="宋体" w:eastAsia="宋体" w:cs="宋体"/>
          <w:b w:val="0"/>
          <w:bCs w:val="0"/>
          <w:color w:val="auto"/>
          <w:sz w:val="24"/>
          <w:szCs w:val="24"/>
          <w:highlight w:val="none"/>
          <w:lang w:val="en-US" w:eastAsia="zh-CN"/>
        </w:rPr>
        <w:t xml:space="preserve">。</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 磋商评审过程的保密与公正</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3.1磋商小组、采购人或采购代理机构、相关监督人员等与评审工作有关的人员，对评审情况以及在评审过程中获悉的国家秘密、商业秘密负有保密责任。</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3.2在磋商评审过程中，磋商供应商不得以任何行为影响磋商评审过程，否则其响应文件将被</w:t>
      </w:r>
      <w:r>
        <w:rPr>
          <w:rFonts w:hint="eastAsia" w:ascii="宋体" w:hAnsi="宋体" w:cs="宋体"/>
          <w:b w:val="0"/>
          <w:bCs w:val="0"/>
          <w:color w:val="auto"/>
          <w:sz w:val="24"/>
          <w:szCs w:val="24"/>
          <w:highlight w:val="none"/>
          <w:lang w:val="en-US" w:eastAsia="zh-CN"/>
        </w:rPr>
        <w:t xml:space="preserve">视为</w:t>
      </w:r>
      <w:r>
        <w:rPr>
          <w:rFonts w:hint="eastAsia" w:ascii="宋体" w:hAnsi="宋体" w:eastAsia="宋体" w:cs="宋体"/>
          <w:b w:val="0"/>
          <w:bCs w:val="0"/>
          <w:color w:val="auto"/>
          <w:sz w:val="24"/>
          <w:szCs w:val="24"/>
          <w:highlight w:val="none"/>
          <w:lang w:val="en-US" w:eastAsia="zh-CN"/>
        </w:rPr>
        <w:t xml:space="preserve">无效响应文件。</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3.4评审开始后，直至向成交供应商授予合同时止，凡是与审查、澄清、评价和比较响应的有关资料以及授标建议等，采购人、磋商小组、采购代理机构均不得向供应商或与评标无关的其他人员透露。</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3.5在评审期间，采购人或采购代理机构将设专门人员与供应商联系。</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3.6采购人或采购代理机构和评审小组不向未成交的供应商解释未成交原因，也不公布评审过程中的相关细节。</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4、评审过程的澄清</w:t>
      </w:r>
      <w:r>
        <w:rPr>
          <w:color w:val="auto"/>
          <w:highlight w:val="none"/>
        </w:rP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lang w:val="en-US" w:eastAsia="zh-CN"/>
        </w:rPr>
        <w:t xml:space="preserve">4.1</w:t>
      </w:r>
      <w:r>
        <w:rPr>
          <w:rFonts w:hint="eastAsia" w:asciiTheme="minorEastAsia" w:hAnsiTheme="minorEastAsia" w:eastAsiaTheme="minorEastAsia" w:cstheme="minorEastAsia"/>
          <w:color w:val="auto"/>
          <w:sz w:val="24"/>
          <w:szCs w:val="24"/>
          <w:highlight w:val="none"/>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auto"/>
          <w:highlight w:val="none"/>
        </w:rP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磋商小组并非对每个供应商都作澄清要求。</w:t>
      </w:r>
      <w:r>
        <w:rPr>
          <w:color w:val="auto"/>
          <w:highlight w:val="none"/>
        </w:rP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lang w:val="en-US" w:eastAsia="zh-CN"/>
        </w:rPr>
        <w:t xml:space="preserve">4.2</w:t>
      </w:r>
      <w:r>
        <w:rPr>
          <w:rFonts w:hint="eastAsia" w:asciiTheme="minorEastAsia" w:hAnsiTheme="minorEastAsia" w:eastAsiaTheme="minorEastAsia" w:cstheme="minorEastAsia"/>
          <w:color w:val="auto"/>
          <w:sz w:val="24"/>
          <w:szCs w:val="24"/>
          <w:highlight w:val="none"/>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color w:val="auto"/>
          <w:highlight w:val="none"/>
        </w:rPr>
      </w:r>
    </w:p>
    <w:p>
      <w:pPr>
        <w:ind w:firstLine="48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lang w:val="en-US" w:eastAsia="zh-CN"/>
        </w:rPr>
        <w:t xml:space="preserve">4.3 </w:t>
      </w:r>
      <w:r>
        <w:rPr>
          <w:rFonts w:hint="eastAsia" w:ascii="宋体" w:hAnsi="宋体" w:eastAsia="宋体" w:cs="宋体"/>
          <w:color w:val="auto"/>
          <w:sz w:val="24"/>
          <w:szCs w:val="24"/>
          <w:highlight w:val="none"/>
        </w:rPr>
        <w:t xml:space="preserve">接</w:t>
      </w:r>
      <w:r>
        <w:rPr>
          <w:rFonts w:hint="eastAsia" w:asciiTheme="minorEastAsia" w:hAnsiTheme="minorEastAsia" w:eastAsiaTheme="minorEastAsia" w:cstheme="minorEastAsia"/>
          <w:color w:val="auto"/>
          <w:sz w:val="24"/>
          <w:szCs w:val="24"/>
          <w:highlight w:val="none"/>
        </w:rPr>
        <w:t xml:space="preserve">到磋商小组澄清、说明和更正要求的供应商如未按规定</w:t>
      </w:r>
      <w:r>
        <w:rPr>
          <w:rFonts w:hint="eastAsia" w:eastAsia="宋体" w:asciiTheme="minorEastAsia" w:hAnsiTheme="minorEastAsia" w:cstheme="minorEastAsia"/>
          <w:color w:val="auto"/>
          <w:sz w:val="24"/>
          <w:szCs w:val="24"/>
          <w:highlight w:val="none"/>
          <w:lang w:eastAsia="zh-CN"/>
        </w:rPr>
        <w:t xml:space="preserve">作出</w:t>
      </w:r>
      <w:r>
        <w:rPr>
          <w:rFonts w:hint="eastAsia" w:asciiTheme="minorEastAsia" w:hAnsiTheme="minorEastAsia" w:eastAsiaTheme="minorEastAsia" w:cstheme="minorEastAsia"/>
          <w:color w:val="auto"/>
          <w:sz w:val="24"/>
          <w:szCs w:val="24"/>
          <w:highlight w:val="none"/>
        </w:rPr>
        <w:t xml:space="preserve">澄清、说明和 更正，其风险由供应商自行承担。</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5.对响应文件的初审</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5.1响应文件初审分为资格性审查和符合性审查。</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5.1.1资格性检查：依据法律法规和磋商文件的规定，由采购人对响应文件中的资格审查证明材料进行审查，资格审查的结论，采购人以书面形式向磋商小组进行反馈。</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采购人在进行资格性审查的同时，评标委员会从“信用中国”网站查询供应商的信用记录，以确定供应商是否具备参加磋商的资格。</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接受联合体的项目，两个以上的自然人、法人或者其他组织组成一个联合体，以一个供应商的身份共同参加政府采购活动的</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联合体成员中任何一方存在不良信用记录的，视同联合体存在不良应用记录。</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5.1.2 符合性审查：依据磋商文件的规定，由磋商小组从响应文件的有效性、完整性和对磋商文件的响应程度进行审查，以确定是否对磋商文件的实质性要求作出响应。</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5.2 在正式磋商之前，磋商小组将首先审查每份响应文件是否实质性响应了磋商文件的要求。实质性响应的响应文件应该是与磋商文件要求的全部条款、条件和规格相符，没有重大负偏离或保留。</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w:t>
      </w:r>
      <w:r>
        <w:rPr>
          <w:rFonts w:hint="eastAsia" w:ascii="宋体" w:hAnsi="宋体" w:eastAsia="宋体" w:cs="宋体"/>
          <w:b/>
          <w:bCs/>
          <w:color w:val="auto"/>
          <w:sz w:val="24"/>
          <w:szCs w:val="24"/>
          <w:highlight w:val="none"/>
          <w:lang w:val="en-US" w:eastAsia="zh-CN"/>
        </w:rPr>
        <w:t xml:space="preserve">。重大偏离由磋商小组按照少数服从多数的原则认定。磋商小组决定响应文件的响应性只根据响应文件本身的内容，而不寻求外部的证据。</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5.3 如果响应文件实质上没有响应磋商文件的要求，磋商小组将予以拒绝，供应商不得通过修改或撤销不合要求的偏离或保留而使其响应文件成为实质性响应的文件。</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5.4 磋商小组将对确定为实质性响应的文件进行进一步审核，看其是否有计算上或累加上的算术错误，修正错误的原则如下：</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（1）响应文件中报价总表内容与响应文件中相应内容不一致的，以报价总表为准。</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（2）大写金额和小写金额不一致的，以大写金额为准。</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（3）单价金额小数点或者百分比有明显错位的，以报价总表的总价为准，并修改单价。</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（4）总价金额与按单价汇总金额不一致的，以单价金额计算结果为准。</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同时出现两种以上错误的，按照前款规定的顺序修正。</w:t>
      </w:r>
      <w:r>
        <w:rPr>
          <w:color w:val="auto"/>
          <w:highlight w:val="none"/>
        </w:rPr>
      </w:r>
    </w:p>
    <w:p>
      <w:pPr>
        <w:pageBreakBefore w:val="0"/>
        <w:spacing w:line="360" w:lineRule="auto"/>
        <w:rPr>
          <w:rFonts w:hint="eastAsia" w:ascii="宋体" w:hAnsi="宋体" w:eastAsia="宋体" w:cs="宋体"/>
          <w:color w:val="auto"/>
          <w:sz w:val="24"/>
          <w:szCs w:val="32"/>
          <w:highlight w:val="none"/>
        </w:rPr>
      </w:pPr>
      <w:r>
        <w:rPr>
          <w:rFonts w:hint="eastAsia"/>
          <w:color w:val="auto"/>
          <w:highlight w:val="none"/>
          <w:lang w:val="en-US" w:eastAsia="zh-CN"/>
        </w:rPr>
        <w:t xml:space="preserve">  </w:t>
      </w:r>
      <w:r>
        <w:rPr>
          <w:rFonts w:hint="eastAsia" w:ascii="宋体" w:hAnsi="宋体" w:eastAsia="宋体" w:cs="宋体"/>
          <w:color w:val="auto"/>
          <w:sz w:val="24"/>
          <w:szCs w:val="32"/>
          <w:highlight w:val="none"/>
          <w:lang w:val="en-US" w:eastAsia="zh-CN"/>
        </w:rPr>
        <w:t xml:space="preserve">   5.5响应文件有下列情况之一的，属于重大偏差，视为未能对响应文件作出实质性响应，应当作为无效响应予以否决：</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w:t>
      </w:r>
      <w:r>
        <w:rPr>
          <w:rFonts w:hint="eastAsia" w:ascii="宋体" w:hAnsi="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lang w:val="en-US" w:eastAsia="zh-CN"/>
        </w:rPr>
        <w:t xml:space="preserve">) 响应文件中的磋商响应函未加盖磋商供应商的公章；</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(2) 响应文件中的磋商响应函未加盖企业法定代表人（或企业法定代表人委托代理人）印章（或签字）的；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(3) 磋商响应函加盖企业法定代表人委托代理人印章（或签字），企业法定代表人委托代理人没有合法、有效的委托书（原件）的；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(4) 磋商供应商资质条件不符合国家有关规定，或者不满足响应文件规定的资格条件的；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(5) 磋商供应商名称与资格预审时不一致的；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(6) 响应文件报价低于工程成本或者高于响应文件设定的预算价或者采购人设置的最高限价的；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(7) 同一磋商供应商提交两个及以上不同的响应文件或者磋商报价，但响应文件要求提交备选磋商的除外；</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(8) 响应文件中已标价工程量清单与响应文件规定的暂估价、暂列金额及甲供材料价格不一致的；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(9) 响应文件中已标价工程量清单与响应文件明确列出的不可竞争费用项目或费率或计算基础不一致的；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(10) 响应文件的已标价工程量清单与响应文件提供的工程量清单中的项目编码、项目名称、项目特征、计量单位、工程量不一致的；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(11) 响应文件载明的磋商项目完成期限超过响应文件规定的期限的；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(12) 明显不符合技术规范、技术标准的要求的；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(13) 响应文件载明的货物包装方式、检验标准和方法等不符合响应文件的要求的；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(14) 响应文件提出了不能满足响应文件要求或采购人不能接受的工程验收、计量、价款结算和支付办法的；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(15) 未按响应文件要求提供纸质响应文件；</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(16) 不同磋商供应商的响应文件以及响应文件制作过程出现了评审委员会认为不应当雷同的情况的；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(17) 以他人的名义参与磋商、串通磋商、以行贿手段谋取成交或者以其他弄虚作假方式参与磋商的；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(18) 施工组织设计（施工方案）存在明显技术方案错误，或者不符合响应文件有关要求的；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(19) 响应文件关键内容模糊、无法辨认的。</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(20) 不符合法律、法规和响应文件中规定的其他实质性要求和条件的（本响应文件中标注★的款项为实质性要求和条件）；</w:t>
      </w:r>
      <w:r>
        <w:rPr>
          <w:color w:val="auto"/>
          <w:highlight w:val="none"/>
        </w:rPr>
      </w:r>
    </w:p>
    <w:p>
      <w:pPr>
        <w:ind w:firstLine="480"/>
        <w:pageBreakBefore w:val="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(21) 其他法律、法规及本响应文件规定的属未实质性响应的响应文件的情形。</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 磋商小组将按上述修正错误的方法调整响应文件中的报价，现场告知供应商，调整后的价格应对供应商具有约束力。如果供应商不接受修正后的价格，则其磋商活动将被拒绝。</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 磋商小组将允许修正响应文件中不构成重大偏离的、微小的、非正规的、不一致的或不规则的地方，但这些修改不能影响任何供应商相应的名次排列。</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9 </w:t>
      </w:r>
      <w:r>
        <w:rPr>
          <w:rFonts w:hint="eastAsia" w:ascii="宋体" w:hAnsi="宋体" w:eastAsia="宋体" w:cs="宋体"/>
          <w:b w:val="0"/>
          <w:bCs w:val="0"/>
          <w:color w:val="auto"/>
          <w:sz w:val="24"/>
          <w:szCs w:val="24"/>
          <w:highlight w:val="none"/>
          <w:lang w:val="en-US" w:eastAsia="zh-CN"/>
        </w:rPr>
        <w:t xml:space="preserve">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 供应商在评审全过程中应保持通讯畅通，并安排专人与采购人或采购代理机构及磋商小组联系。</w:t>
      </w:r>
      <w:r>
        <w:rPr>
          <w:color w:val="auto"/>
          <w:highlight w:val="none"/>
        </w:rP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 xml:space="preserve">磋商程序</w:t>
      </w:r>
      <w:r>
        <w:rPr>
          <w:color w:val="auto"/>
          <w:highlight w:val="none"/>
        </w:rP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6.1 </w:t>
      </w:r>
      <w:r>
        <w:rPr>
          <w:rFonts w:hint="eastAsia" w:ascii="宋体" w:hAnsi="宋体" w:eastAsia="宋体" w:cs="宋体"/>
          <w:color w:val="auto"/>
          <w:sz w:val="24"/>
          <w:szCs w:val="24"/>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rPr>
          <w:color w:val="auto"/>
          <w:highlight w:val="none"/>
        </w:rP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color w:val="auto"/>
          <w:highlight w:val="none"/>
        </w:rP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6.2 </w:t>
      </w:r>
      <w:r>
        <w:rPr>
          <w:rFonts w:hint="eastAsia" w:ascii="宋体" w:hAnsi="宋体" w:eastAsia="宋体" w:cs="宋体"/>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color w:val="auto"/>
          <w:highlight w:val="none"/>
        </w:rP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color w:val="auto"/>
          <w:highlight w:val="none"/>
        </w:rPr>
      </w:r>
    </w:p>
    <w:p>
      <w:pPr>
        <w:ind w:firstLine="480"/>
        <w:pageBreakBefore w:val="0"/>
        <w:spacing w:after="145"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rPr>
          <w:color w:val="auto"/>
          <w:highlight w:val="none"/>
        </w:rP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6.3 </w:t>
      </w:r>
      <w:r>
        <w:rPr>
          <w:rFonts w:hint="eastAsia" w:ascii="宋体" w:hAnsi="宋体" w:eastAsia="宋体" w:cs="宋体"/>
          <w:color w:val="auto"/>
          <w:sz w:val="24"/>
          <w:szCs w:val="24"/>
          <w:highlight w:val="none"/>
        </w:rPr>
        <w:t xml:space="preserve">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color w:val="auto"/>
          <w:highlight w:val="none"/>
        </w:rP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评审方法和评审标准</w:t>
      </w:r>
      <w:r>
        <w:rPr>
          <w:color w:val="auto"/>
          <w:highlight w:val="none"/>
        </w:rP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6.4.1</w:t>
      </w:r>
      <w:r>
        <w:rPr>
          <w:rFonts w:hint="eastAsia" w:ascii="宋体" w:hAnsi="宋体" w:eastAsia="宋体" w:cs="宋体"/>
          <w:color w:val="auto"/>
          <w:sz w:val="24"/>
          <w:szCs w:val="24"/>
          <w:highlight w:val="none"/>
        </w:rPr>
        <w:t xml:space="preserve">评审方法。经磋商确定最终采购需求和提交最后报价的供应商后，由磋商小组采用综合评分法对提交最后报价的供应商的响应文件和最后报价进行综合评分。</w:t>
      </w:r>
      <w:r>
        <w:rPr>
          <w:color w:val="auto"/>
          <w:highlight w:val="none"/>
        </w:rP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color w:val="auto"/>
          <w:highlight w:val="none"/>
        </w:rPr>
      </w:r>
    </w:p>
    <w:p>
      <w:pPr>
        <w:ind w:firstLine="477"/>
        <w:pageBreakBefore w:val="0"/>
        <w:spacing w:after="145"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6.4.2 </w:t>
      </w:r>
      <w:r>
        <w:rPr>
          <w:rFonts w:hint="eastAsia" w:ascii="宋体" w:hAnsi="宋体" w:eastAsia="宋体" w:cs="宋体"/>
          <w:color w:val="auto"/>
          <w:sz w:val="24"/>
          <w:szCs w:val="24"/>
          <w:highlight w:val="none"/>
        </w:rPr>
        <w:t xml:space="preserve">评审标准</w:t>
      </w:r>
      <w:r>
        <w:rPr>
          <w:color w:val="auto"/>
          <w:highlight w:val="none"/>
        </w:rPr>
      </w:r>
    </w:p>
    <w:p>
      <w:pPr>
        <w:ind w:firstLine="477"/>
        <w:pageBreakBefore w:val="0"/>
        <w:spacing w:after="145" w:line="360" w:lineRule="auto"/>
        <w:widowControl w:val="off"/>
        <w:tabs>
          <w:tab w:val="left" w:pos="900" w:leader="none"/>
        </w:tabs>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 xml:space="preserve">见本磋商文件第</w:t>
      </w:r>
      <w:r>
        <w:rPr>
          <w:rFonts w:hint="eastAsia" w:asciiTheme="minorEastAsia" w:hAnsiTheme="minorEastAsia" w:eastAsiaTheme="minorEastAsia" w:cstheme="minorEastAsia"/>
          <w:b w:val="0"/>
          <w:bCs w:val="0"/>
          <w:color w:val="auto"/>
          <w:sz w:val="24"/>
          <w:szCs w:val="24"/>
          <w:highlight w:val="none"/>
          <w:lang w:val="en-US" w:eastAsia="zh-CN"/>
        </w:rPr>
        <w:t xml:space="preserve">七</w:t>
      </w:r>
      <w:r>
        <w:rPr>
          <w:rFonts w:hint="eastAsia" w:asciiTheme="minorEastAsia" w:hAnsiTheme="minorEastAsia" w:eastAsiaTheme="minorEastAsia" w:cstheme="minorEastAsia"/>
          <w:b w:val="0"/>
          <w:bCs w:val="0"/>
          <w:color w:val="auto"/>
          <w:sz w:val="24"/>
          <w:szCs w:val="24"/>
          <w:highlight w:val="none"/>
        </w:rPr>
        <w:t xml:space="preserve">章规定</w:t>
      </w:r>
      <w:r>
        <w:rPr>
          <w:rFonts w:hint="eastAsia" w:asciiTheme="minorEastAsia" w:hAnsiTheme="minorEastAsia" w:eastAsiaTheme="minorEastAsia" w:cstheme="minorEastAsia"/>
          <w:color w:val="auto"/>
          <w:sz w:val="24"/>
          <w:szCs w:val="24"/>
          <w:highlight w:val="none"/>
        </w:rPr>
        <w:t xml:space="preserve">。</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 被认定为未实质性响应磋商文件的响应文件的情形。</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.1出现下列情形之一的，作无效响应处理。</w:t>
      </w:r>
      <w:r>
        <w:rPr>
          <w:color w:val="auto"/>
          <w:highlight w:val="none"/>
        </w:rPr>
      </w:r>
    </w:p>
    <w:p>
      <w:pPr>
        <w:pStyle w:val="941"/>
        <w:ind w:left="0" w:firstLine="482"/>
        <w:jc w:val="both"/>
        <w:keepLines w:val="0"/>
        <w:keepNext w:val="0"/>
        <w:pageBreakBefore w:val="0"/>
        <w:spacing w:before="0" w:after="0" w:line="360" w:lineRule="auto"/>
        <w:widowControl w:val="off"/>
        <w:rPr>
          <w:rFonts w:hint="eastAsia" w:eastAsia="宋体" w:asciiTheme="minorEastAsia" w:hAnsiTheme="minorEastAsia" w:cstheme="minorEastAsia"/>
          <w:bCs/>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.1.1 </w:t>
      </w:r>
      <w:r>
        <w:rPr>
          <w:rFonts w:hint="eastAsia" w:asciiTheme="minorEastAsia" w:hAnsiTheme="minorEastAsia" w:eastAsiaTheme="minorEastAsia" w:cstheme="minorEastAsia"/>
          <w:bCs/>
          <w:color w:val="auto"/>
          <w:sz w:val="24"/>
          <w:szCs w:val="24"/>
          <w:highlight w:val="none"/>
        </w:rPr>
        <w:t xml:space="preserve">供应商在</w:t>
      </w:r>
      <w:r>
        <w:rPr>
          <w:rFonts w:hint="eastAsia" w:asciiTheme="minorEastAsia" w:hAnsiTheme="minorEastAsia" w:eastAsiaTheme="minorEastAsia" w:cstheme="minorEastAsia"/>
          <w:color w:val="auto"/>
          <w:sz w:val="24"/>
          <w:szCs w:val="24"/>
          <w:highlight w:val="none"/>
        </w:rPr>
        <w:t xml:space="preserve">苏采云系统</w:t>
      </w:r>
      <w:r>
        <w:rPr>
          <w:rFonts w:hint="eastAsia" w:asciiTheme="minorEastAsia" w:hAnsiTheme="minorEastAsia" w:eastAsiaTheme="minorEastAsia" w:cstheme="minorEastAsia"/>
          <w:bCs/>
          <w:color w:val="auto"/>
          <w:sz w:val="24"/>
          <w:szCs w:val="24"/>
          <w:highlight w:val="none"/>
        </w:rPr>
        <w:t xml:space="preserve">规定的时间内未成功解密电子响应文件的</w:t>
      </w:r>
      <w:r>
        <w:rPr>
          <w:rFonts w:hint="eastAsia" w:eastAsia="宋体" w:asciiTheme="minorEastAsia" w:hAnsiTheme="minorEastAsia" w:cstheme="minorEastAsia"/>
          <w:bCs/>
          <w:color w:val="auto"/>
          <w:sz w:val="24"/>
          <w:szCs w:val="24"/>
          <w:highlight w:val="none"/>
          <w:lang w:eastAsia="zh-CN"/>
        </w:rPr>
        <w:t xml:space="preserve">。</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Theme="minorEastAsia" w:hAnsiTheme="minorEastAsia" w:eastAsiaTheme="minorEastAsia" w:cstheme="minorEastAsia"/>
          <w:bCs/>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.1.2 </w:t>
      </w:r>
      <w:r>
        <w:rPr>
          <w:rFonts w:hint="eastAsia" w:asciiTheme="minorEastAsia" w:hAnsiTheme="minorEastAsia" w:eastAsiaTheme="minorEastAsia" w:cstheme="minorEastAsia"/>
          <w:bCs/>
          <w:color w:val="auto"/>
          <w:sz w:val="24"/>
          <w:szCs w:val="24"/>
          <w:highlight w:val="none"/>
        </w:rPr>
        <w:t xml:space="preserve">供应商未按照磋商文件要求上传电子响应文件的。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同一供应商提交两个（含两个）以上不同的响应文件或者最后报价的。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 不具备磋商文件中规定的资格要求的。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 响应报价超过了采购预算</w:t>
      </w:r>
      <w:r>
        <w:rPr>
          <w:rFonts w:hint="eastAsia" w:ascii="宋体" w:hAnsi="宋体" w:cs="宋体"/>
          <w:b w:val="0"/>
          <w:bCs w:val="0"/>
          <w:color w:val="auto"/>
          <w:sz w:val="24"/>
          <w:szCs w:val="24"/>
          <w:highlight w:val="none"/>
          <w:lang w:val="en-US" w:eastAsia="zh-CN"/>
        </w:rPr>
        <w:t xml:space="preserve">或最高限价的</w:t>
      </w:r>
      <w:r>
        <w:rPr>
          <w:rFonts w:hint="eastAsia" w:ascii="宋体" w:hAnsi="宋体" w:eastAsia="宋体" w:cs="宋体"/>
          <w:b w:val="0"/>
          <w:bCs w:val="0"/>
          <w:color w:val="auto"/>
          <w:sz w:val="24"/>
          <w:szCs w:val="24"/>
          <w:highlight w:val="none"/>
          <w:lang w:val="en-US" w:eastAsia="zh-CN"/>
        </w:rPr>
        <w:t xml:space="preserve">。</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 未通过符合性检查的。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不符合法律、法规和磋商文件中规定的其他实质性要求的。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val="en-US" w:eastAsia="zh-CN"/>
        </w:rPr>
        <w:t xml:space="preserve">响应文件含有采购人不能接受的附加条件的。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lang w:val="en-US" w:eastAsia="zh-CN"/>
        </w:rPr>
        <w:t xml:space="preserve">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lang w:val="en-US" w:eastAsia="zh-CN"/>
        </w:rPr>
        <w:t xml:space="preserve"> 响应文件未按照磋商文件要求加盖电子签章。</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lang w:val="en-US" w:eastAsia="zh-CN"/>
        </w:rPr>
        <w:t xml:space="preserve">的商务技术部分得分相差悬殊，评标委员会认为得分畸低者没有实质性响应的。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供应商在系统规定的时间内未成功解密电子响应文件的。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 未完整上传响应文件电子文档的</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或上传的文件打不开的。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不同的供应商响应文件制作机器码、文件创建标识码一致的。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 其他法律、法规及本磋商文件规定的属无效响应的情形。</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.2 出现下列情形之一的，磋商失败。</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.2.2 出现影响采购公正的违法违规行为的；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.2.3 因重大变故，采购任务取消的。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.2.4 磋商小组认定磋商文件存在歧义、重大缺陷导致评审工作无法进行。</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.2.5 因系统故障原因造成磋商不成功的。</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.3 响应文件提交截止时间结束后参加磋商的供应商不足三家的处理：</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.3.1 如出现响应文件提交截止时间结束后参加磋商的供应商或者在评审期间对磋商文件做出实质响应的供应商不足三家情况，按政府采购相关规定执行。</w:t>
      </w:r>
      <w:r>
        <w:rPr>
          <w:color w:val="auto"/>
          <w:highlight w:val="none"/>
        </w:rPr>
      </w:r>
    </w:p>
    <w:p>
      <w:pPr>
        <w:ind w:firstLine="480"/>
        <w:jc w:val="left"/>
        <w:pageBreakBefore w:val="0"/>
        <w:spacing w:line="356" w:lineRule="auto"/>
        <w:rPr>
          <w:rFonts w:hint="eastAsia"/>
          <w:b/>
          <w:bCs/>
          <w:color w:val="auto"/>
          <w:sz w:val="24"/>
          <w:szCs w:val="24"/>
          <w:highlight w:val="none"/>
        </w:rPr>
      </w:pPr>
      <w:r>
        <w:rPr>
          <w:rFonts w:hint="eastAsia" w:ascii="宋体" w:hAnsi="宋体" w:cs="宋体"/>
          <w:b w:val="0"/>
          <w:bCs w:val="0"/>
          <w:color w:val="auto"/>
          <w:sz w:val="24"/>
          <w:szCs w:val="24"/>
          <w:highlight w:val="none"/>
          <w:lang w:val="en-US" w:eastAsia="zh-CN"/>
        </w:rPr>
        <w:t xml:space="preserve">7.3.2</w:t>
      </w:r>
      <w:r>
        <w:rPr>
          <w:rFonts w:hint="eastAsia"/>
          <w:b/>
          <w:bCs/>
          <w:color w:val="auto"/>
          <w:sz w:val="24"/>
          <w:szCs w:val="24"/>
          <w:highlight w:val="none"/>
        </w:rPr>
        <w:t xml:space="preserve">根据《关于推动解决政府采购异常低价问题相关工作的通知》（苏财购〔2025〕62号）规定：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rPr>
          <w:color w:val="auto"/>
          <w:highlight w:val="none"/>
        </w:rPr>
      </w:r>
    </w:p>
    <w:p>
      <w:pPr>
        <w:ind w:firstLine="480"/>
        <w:jc w:val="left"/>
        <w:pageBreakBefore w:val="0"/>
        <w:spacing w:line="356" w:lineRule="auto"/>
        <w:rPr>
          <w:rFonts w:hint="eastAsia"/>
          <w:b/>
          <w:bCs/>
          <w:color w:val="auto"/>
          <w:sz w:val="24"/>
          <w:szCs w:val="24"/>
          <w:highlight w:val="none"/>
        </w:rPr>
      </w:pPr>
      <w:r>
        <w:rPr>
          <w:rFonts w:hint="eastAsia"/>
          <w:b/>
          <w:bCs/>
          <w:color w:val="auto"/>
          <w:sz w:val="24"/>
          <w:szCs w:val="24"/>
          <w:highlight w:val="none"/>
        </w:rPr>
        <w:t xml:space="preserve">启动异常低价投标（响应）审查后，评审委员会将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auto"/>
          <w:highlight w:val="none"/>
        </w:rPr>
      </w:r>
    </w:p>
    <w:p>
      <w:pPr>
        <w:rPr>
          <w:rFonts w:hint="default"/>
          <w:color w:val="auto"/>
          <w:highlight w:val="none"/>
        </w:rPr>
      </w:pPr>
      <w:r>
        <w:rPr>
          <w:rFonts w:hint="default"/>
          <w:color w:val="auto"/>
          <w:highlight w:val="none"/>
          <w:lang w:val="en-US" w:eastAsia="zh-CN"/>
        </w:rPr>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 响应文件线上格式要求</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.1 供应商应当通过“苏采云”系统提交数据电文形式的响应文件（即电子投标）。</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.2 通过“苏采云”系统提交政府采购客户端工具导出加密的响应文件（后缀名为zip）。响应文件不得超过150M！</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.3 本项目采用线上投标，即供应商响应文件从政府采购客户端工具制作通过“苏采云”系统提交，未提供线上响应文件的，投标无效。</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、成交</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color w:val="auto"/>
          <w:highlight w:val="none"/>
        </w:rPr>
      </w:r>
      <w:bookmarkStart w:id="84" w:name="_Toc513029238"/>
      <w:r>
        <w:rPr>
          <w:color w:val="auto"/>
          <w:highlight w:val="none"/>
        </w:rPr>
      </w:r>
      <w:bookmarkStart w:id="85" w:name="_Toc16938554"/>
      <w:r>
        <w:rPr>
          <w:color w:val="auto"/>
          <w:highlight w:val="none"/>
        </w:rPr>
      </w:r>
      <w:bookmarkStart w:id="86" w:name="_Toc20823310"/>
      <w:r>
        <w:rPr>
          <w:rFonts w:hint="eastAsia" w:ascii="宋体" w:hAnsi="宋体" w:eastAsia="宋体" w:cs="宋体"/>
          <w:color w:val="auto"/>
          <w:sz w:val="24"/>
          <w:szCs w:val="24"/>
          <w:highlight w:val="none"/>
        </w:rPr>
        <w:t xml:space="preserve">1、</w:t>
      </w:r>
      <w:bookmarkEnd w:id="84"/>
      <w:r>
        <w:rPr>
          <w:rFonts w:hint="eastAsia" w:ascii="宋体" w:hAnsi="宋体" w:eastAsia="宋体" w:cs="宋体"/>
          <w:color w:val="auto"/>
          <w:sz w:val="24"/>
          <w:szCs w:val="24"/>
          <w:highlight w:val="none"/>
        </w:rPr>
        <w:t xml:space="preserve">确定</w:t>
      </w:r>
      <w:bookmarkEnd w:id="85"/>
      <w:r>
        <w:rPr>
          <w:color w:val="auto"/>
          <w:highlight w:val="none"/>
        </w:rPr>
      </w:r>
      <w:bookmarkEnd w:id="86"/>
      <w:r>
        <w:rPr>
          <w:rFonts w:hint="eastAsia" w:ascii="宋体" w:hAnsi="宋体" w:eastAsia="宋体" w:cs="宋体"/>
          <w:color w:val="auto"/>
          <w:sz w:val="24"/>
          <w:szCs w:val="24"/>
          <w:highlight w:val="none"/>
        </w:rPr>
        <w:t xml:space="preserve">成交单位</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color w:val="auto"/>
          <w:highlight w:val="none"/>
        </w:rPr>
      </w:r>
    </w:p>
    <w:p>
      <w:pPr>
        <w:ind w:firstLine="480"/>
        <w:jc w:val="left"/>
        <w:pageBreakBefore w:val="0"/>
        <w:spacing w:line="360" w:lineRule="auto"/>
        <w:tabs>
          <w:tab w:val="left" w:pos="900" w:leader="none"/>
        </w:tabs>
        <w:rPr>
          <w:rFonts w:hint="eastAsia" w:ascii="宋体" w:hAnsi="宋体" w:cs="宋体"/>
          <w:b/>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根据采购人的授权，磋商小组直接确定排名第一的成交候选供应商为成交供应商，代理机构将在</w:t>
      </w:r>
      <w:r>
        <w:rPr>
          <w:rFonts w:hint="eastAsia" w:ascii="宋体" w:hAnsi="宋体" w:eastAsia="宋体" w:cs="宋体"/>
          <w:color w:val="auto"/>
          <w:sz w:val="24"/>
          <w:szCs w:val="24"/>
          <w:highlight w:val="none"/>
        </w:rPr>
        <w:t xml:space="preserve">“江苏政府采购网”</w:t>
      </w:r>
      <w:r>
        <w:rPr>
          <w:rFonts w:hint="eastAsia" w:ascii="宋体" w:hAnsi="宋体" w:eastAsia="宋体" w:cs="宋体"/>
          <w:color w:val="auto"/>
          <w:sz w:val="24"/>
          <w:szCs w:val="24"/>
          <w:highlight w:val="none"/>
          <w:lang w:val="en-US" w:eastAsia="zh-CN"/>
        </w:rPr>
        <w:t xml:space="preserve">发布</w:t>
      </w:r>
      <w:r>
        <w:rPr>
          <w:rFonts w:hint="eastAsia" w:ascii="宋体" w:hAnsi="宋体" w:cs="宋体"/>
          <w:color w:val="auto"/>
          <w:sz w:val="24"/>
          <w:highlight w:val="none"/>
        </w:rPr>
        <w:t xml:space="preserve">成交结果</w:t>
      </w:r>
      <w:r>
        <w:rPr>
          <w:rFonts w:hint="eastAsia" w:ascii="宋体" w:hAnsi="宋体" w:cs="宋体"/>
          <w:color w:val="auto"/>
          <w:sz w:val="24"/>
          <w:highlight w:val="none"/>
          <w:lang w:val="en-US" w:eastAsia="zh-CN"/>
        </w:rPr>
        <w:t xml:space="preserve">公告</w:t>
      </w:r>
      <w:r>
        <w:rPr>
          <w:rFonts w:hint="eastAsia" w:ascii="宋体" w:hAnsi="宋体" w:cs="宋体"/>
          <w:color w:val="auto"/>
          <w:sz w:val="24"/>
          <w:highlight w:val="none"/>
        </w:rPr>
        <w:t xml:space="preserve">，公告期限为1个工作日，同时向成交供应商发出成交通知书。</w:t>
      </w:r>
      <w:r>
        <w:rPr>
          <w:rFonts w:hint="eastAsia" w:ascii="宋体" w:hAnsi="宋体" w:cs="宋体"/>
          <w:b/>
          <w:color w:val="auto"/>
          <w:sz w:val="24"/>
          <w:highlight w:val="none"/>
        </w:rPr>
        <w:t xml:space="preserve">成交供应商在领取成交通知书时，需提供</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份与电子响应文件一致的纸质打印文件。</w:t>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请成交供应商在成交结果公告届满之日起30日内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因未及时下载而造成的不利后果由成交供应商自行承担。</w:t>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成交通知书将是合同的一个组成部分。对采购人和成交供应商均具有法律效力。成交通知书发出后，采购人改变成交结果的，或者成交供应商放弃成交项目的，应当依法承担法律责任。</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2、成交供应商有下列情形之一的，将取消其成交资格：</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（1）提供虚假材料谋取成交的；</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（2）与评审专家、采购人、其他供应商或者</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工作人员恶意串通的；</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（3）向评审专家、采购人或</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工作人员行贿或者提供其他不正当利益的；</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（4）不满足本磋商文件规定的实质性要求，但在评审过程中又未被磋商小组发现的；</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（5）成交后无正当理由拒不与采购人签订采购合同或者未按照磋商文件确定的事项签订采购合同的；</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（6）将采购合同转包的；</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（7）法律、法规、规章规定的属于成交无效的其他情形。</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eastAsia="宋体" w:cs="宋体"/>
          <w:color w:val="auto"/>
          <w:sz w:val="24"/>
          <w:szCs w:val="24"/>
          <w:highlight w:val="none"/>
        </w:rPr>
        <w:outlineLvl w:val="9"/>
      </w:pPr>
      <w:r>
        <w:rPr>
          <w:color w:val="auto"/>
          <w:highlight w:val="none"/>
        </w:rPr>
      </w:r>
      <w:bookmarkStart w:id="87" w:name="_Toc20823309"/>
      <w:r>
        <w:rPr>
          <w:color w:val="auto"/>
          <w:highlight w:val="none"/>
        </w:rPr>
      </w:r>
      <w:bookmarkStart w:id="88" w:name="_Toc513029237"/>
      <w:r>
        <w:rPr>
          <w:color w:val="auto"/>
          <w:highlight w:val="none"/>
        </w:rPr>
      </w:r>
      <w:bookmarkStart w:id="89" w:name="_Toc16938553"/>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、合同签订相关事项</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1、签订合同</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1.l 采购人与成交供应商应当在成交通知书发出之日起30日内，按照磋商文件确定的合同文本以及采购标的、技术和服务要求等事项签订采购合同。</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磋商文件、成交供应商的响应文件及磋商采购过程中有关澄清、承诺文件均应作为合同附件。</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 </w:t>
      </w:r>
      <w:r>
        <w:rPr>
          <w:rFonts w:hint="eastAsia" w:ascii="宋体" w:hAnsi="宋体" w:eastAsia="宋体" w:cs="宋体"/>
          <w:b/>
          <w:color w:val="auto"/>
          <w:sz w:val="24"/>
          <w:szCs w:val="24"/>
          <w:highlight w:val="none"/>
        </w:rPr>
        <w:t xml:space="preserve">签订合同后，成交供应商不得将成交产品或服务进行转包。</w:t>
      </w:r>
      <w:r>
        <w:rPr>
          <w:rFonts w:hint="eastAsia" w:ascii="宋体" w:hAnsi="宋体" w:eastAsia="宋体" w:cs="宋体"/>
          <w:color w:val="auto"/>
          <w:sz w:val="24"/>
          <w:szCs w:val="24"/>
          <w:highlight w:val="none"/>
        </w:rPr>
        <w:t xml:space="preserve">未经采购人同意，成交供应商也不得采用分包的形式履行合同，否则采购人有权终止合同。转包或分包造成采购人损失的，成交供应商应承担相应赔偿责任。</w:t>
      </w:r>
      <w:r>
        <w:rPr>
          <w:color w:val="auto"/>
          <w:highlight w:val="none"/>
        </w:rPr>
      </w:r>
    </w:p>
    <w:p>
      <w:pPr>
        <w:pStyle w:val="951"/>
        <w:ind w:left="0" w:firstLine="480"/>
        <w:jc w:val="both"/>
        <w:keepLines/>
        <w:keepNext/>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2、标的物的追加</w:t>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cs="宋体"/>
          <w:color w:val="auto"/>
          <w:sz w:val="24"/>
          <w:szCs w:val="24"/>
          <w:highlight w:val="none"/>
          <w:lang w:eastAsia="zh-CN"/>
        </w:rPr>
        <w:t xml:space="preserve">额的</w:t>
      </w:r>
      <w:r>
        <w:rPr>
          <w:rFonts w:hint="eastAsia" w:ascii="宋体" w:hAnsi="宋体" w:eastAsia="宋体" w:cs="宋体"/>
          <w:color w:val="auto"/>
          <w:sz w:val="24"/>
          <w:szCs w:val="24"/>
          <w:highlight w:val="none"/>
        </w:rPr>
        <w:t xml:space="preserve">10%。</w:t>
      </w:r>
      <w:r>
        <w:rPr>
          <w:color w:val="auto"/>
          <w:highlight w:val="none"/>
        </w:rP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、履约保证金</w:t>
      </w:r>
      <w:bookmarkEnd w:id="87"/>
      <w:r>
        <w:rPr>
          <w:color w:val="auto"/>
        </w:rPr>
      </w:r>
      <w:bookmarkEnd w:id="88"/>
      <w:r>
        <w:rPr>
          <w:color w:val="auto"/>
        </w:rPr>
      </w:r>
      <w:bookmarkEnd w:id="89"/>
      <w:r>
        <w:rPr>
          <w:color w:val="auto"/>
        </w:rPr>
      </w:r>
      <w:r>
        <w:rPr>
          <w:color w:val="auto"/>
          <w:highlight w:val="none"/>
        </w:rPr>
      </w:r>
    </w:p>
    <w:p>
      <w:pPr>
        <w:ind w:firstLine="480"/>
        <w:jc w:val="left"/>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3.1</w:t>
      </w:r>
      <w:r>
        <w:rPr>
          <w:rFonts w:hint="eastAsia" w:ascii="宋体" w:hAnsi="宋体"/>
          <w:color w:val="auto"/>
          <w:sz w:val="24"/>
          <w:highlight w:val="none"/>
        </w:rPr>
        <w:t xml:space="preserve">履约保证金的数额不得超过政府采购合同金额的10%。中标人应当以支票、汇票、本票或者金融机构、担保机构出具的保函等非现金形式提交。</w:t>
      </w:r>
      <w:r>
        <w:rPr>
          <w:color w:val="auto"/>
          <w:highlight w:val="none"/>
        </w:rPr>
      </w:r>
    </w:p>
    <w:p>
      <w:pPr>
        <w:ind w:firstLine="480"/>
        <w:jc w:val="left"/>
        <w:pageBreakBefore w:val="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 中标人违约的，采购人将按照合同约定扣除其全部或部分履约保证金。如中标人违约给采购人造成的损失超过履约保证金的，应当依法赔偿超过部分的损失。</w:t>
      </w:r>
      <w:r>
        <w:rPr>
          <w:color w:val="auto"/>
          <w:highlight w:val="none"/>
        </w:rPr>
      </w:r>
    </w:p>
    <w:p>
      <w:pPr>
        <w:ind w:firstLine="480"/>
        <w:jc w:val="left"/>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.3 履约保证金自合同生效之日起至合同约定的中标人主要义务履行完毕止，采购人应当按合同约定及时退还履约保证金。</w:t>
      </w:r>
      <w:r>
        <w:rPr>
          <w:color w:val="auto"/>
          <w:highlight w:val="none"/>
        </w:rPr>
      </w:r>
    </w:p>
    <w:p>
      <w:pPr>
        <w:ind w:firstLine="480"/>
        <w:jc w:val="left"/>
        <w:pageBreakBefore w:val="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.4 逾期退还履约保证金的采购人承担违约责任，按照中国人民银行同期贷款基准利率向中标人支付</w:t>
      </w:r>
      <w:r>
        <w:rPr>
          <w:rFonts w:hint="eastAsia" w:ascii="宋体" w:hAnsi="宋体"/>
          <w:color w:val="auto"/>
          <w:sz w:val="24"/>
          <w:highlight w:val="none"/>
          <w:lang w:eastAsia="zh-CN"/>
        </w:rPr>
        <w:t xml:space="preserve">逾期</w:t>
      </w:r>
      <w:r>
        <w:rPr>
          <w:rFonts w:hint="eastAsia" w:ascii="宋体" w:hAnsi="宋体"/>
          <w:color w:val="auto"/>
          <w:sz w:val="24"/>
          <w:highlight w:val="none"/>
        </w:rPr>
        <w:t xml:space="preserve">资金占用费。</w:t>
      </w:r>
      <w:r>
        <w:rPr>
          <w:color w:val="auto"/>
          <w:highlight w:val="none"/>
        </w:rPr>
      </w:r>
    </w:p>
    <w:p>
      <w:pPr>
        <w:ind w:firstLine="480"/>
        <w:jc w:val="left"/>
        <w:pageBreakBefore w:val="0"/>
        <w:spacing w:line="360" w:lineRule="auto"/>
        <w:rPr>
          <w:rFonts w:hint="default" w:ascii="宋体" w:hAnsi="宋体" w:eastAsia="宋体"/>
          <w:b/>
          <w:bCs/>
          <w:color w:val="auto"/>
          <w:sz w:val="24"/>
          <w:highlight w:val="none"/>
        </w:rPr>
      </w:pPr>
      <w:r>
        <w:rPr>
          <w:rFonts w:hint="eastAsia" w:ascii="宋体" w:hAnsi="宋体"/>
          <w:b/>
          <w:bCs/>
          <w:color w:val="auto"/>
          <w:sz w:val="24"/>
          <w:highlight w:val="none"/>
          <w:lang w:val="en-US" w:eastAsia="zh-CN"/>
        </w:rPr>
        <w:t xml:space="preserve">3.5本项目履约保证金要求具体详见第五章商务要求</w:t>
      </w:r>
      <w:r>
        <w:rPr>
          <w:color w:val="auto"/>
          <w:highlight w:val="none"/>
        </w:rPr>
      </w:r>
    </w:p>
    <w:p>
      <w:pPr>
        <w:pStyle w:val="941"/>
        <w:ind w:firstLine="482"/>
        <w:jc w:val="left"/>
        <w:pageBreakBefore w:val="0"/>
        <w:spacing w:before="0" w:after="0" w:line="360" w:lineRule="auto"/>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九</w:t>
      </w:r>
      <w:r>
        <w:rPr>
          <w:rFonts w:hint="eastAsia" w:ascii="宋体" w:hAnsi="宋体" w:cs="宋体"/>
          <w:color w:val="auto"/>
          <w:sz w:val="24"/>
          <w:szCs w:val="24"/>
          <w:highlight w:val="none"/>
        </w:rPr>
        <w:t xml:space="preserve">、政策功能</w:t>
      </w:r>
      <w:r>
        <w:rPr>
          <w:color w:val="auto"/>
          <w:highlight w:val="none"/>
        </w:rPr>
      </w:r>
    </w:p>
    <w:p>
      <w:pPr>
        <w:ind w:firstLine="482"/>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支持中小企业发展</w:t>
      </w:r>
      <w:r>
        <w:rPr>
          <w:color w:val="auto"/>
          <w:highlight w:val="none"/>
        </w:rPr>
      </w:r>
    </w:p>
    <w:p>
      <w:pPr>
        <w:ind w:firstLine="480"/>
        <w:pageBreakBefore w:val="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1.1</w:t>
      </w:r>
      <w:r>
        <w:rPr>
          <w:rFonts w:hint="eastAsia" w:ascii="宋体" w:hAnsi="宋体" w:eastAsia="宋体" w:cs="宋体"/>
          <w:b w:val="0"/>
          <w:bCs w:val="0"/>
          <w:color w:val="auto"/>
          <w:sz w:val="24"/>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rPr>
          <w:color w:val="auto"/>
          <w:highlight w:val="none"/>
        </w:rPr>
      </w:r>
    </w:p>
    <w:p>
      <w:pPr>
        <w:ind w:firstLine="480"/>
        <w:pageBreakBefore w:val="0"/>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1.2</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为残疾人福利性单位的，符合财库〔2017〕141号文件规定条件的残疾人福利性单位视同小型、微型企业，提供《残疾人福利性单位声明函》</w:t>
      </w:r>
      <w:r>
        <w:rPr>
          <w:rFonts w:hint="eastAsia" w:ascii="宋体" w:hAnsi="宋体" w:eastAsia="宋体" w:cs="宋体"/>
          <w:b w:val="0"/>
          <w:bCs w:val="0"/>
          <w:color w:val="auto"/>
          <w:sz w:val="24"/>
          <w:highlight w:val="none"/>
          <w:lang w:eastAsia="zh-CN"/>
        </w:rPr>
        <w:t xml:space="preserve">。</w:t>
      </w:r>
      <w:r>
        <w:rPr>
          <w:color w:val="auto"/>
          <w:highlight w:val="none"/>
        </w:rPr>
      </w:r>
    </w:p>
    <w:p>
      <w:pPr>
        <w:ind w:firstLine="480"/>
        <w:keepLines w:val="0"/>
        <w:keepNext w:val="0"/>
        <w:pageBreakBefore w:val="0"/>
        <w:spacing w:line="336" w:lineRule="auto"/>
        <w:widowControl w:val="off"/>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1.3</w:t>
      </w:r>
      <w:r>
        <w:rPr>
          <w:rFonts w:hint="eastAsia" w:ascii="宋体" w:hAnsi="宋体" w:cs="宋体"/>
          <w:b w:val="0"/>
          <w:bCs w:val="0"/>
          <w:color w:val="auto"/>
          <w:sz w:val="24"/>
          <w:highlight w:val="none"/>
          <w:lang w:eastAsia="zh-CN"/>
        </w:rPr>
        <w:t xml:space="preserve">供应商</w:t>
      </w:r>
      <w:r>
        <w:rPr>
          <w:rFonts w:hint="eastAsia" w:ascii="宋体" w:hAnsi="宋体" w:eastAsia="宋体" w:cs="宋体"/>
          <w:b w:val="0"/>
          <w:bCs w:val="0"/>
          <w:color w:val="auto"/>
          <w:sz w:val="24"/>
          <w:highlight w:val="none"/>
        </w:rPr>
        <w:t xml:space="preserve">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rPr>
          <w:color w:val="auto"/>
          <w:highlight w:val="none"/>
        </w:rPr>
      </w:r>
    </w:p>
    <w:p>
      <w:pPr>
        <w:ind w:firstLine="480"/>
        <w:jc w:val="left"/>
        <w:keepLines w:val="0"/>
        <w:keepNext w:val="0"/>
        <w:pageBreakBefore w:val="0"/>
        <w:spacing w:line="336" w:lineRule="auto"/>
        <w:widowControl w:val="off"/>
        <w:tabs>
          <w:tab w:val="left" w:pos="900" w:leader="none"/>
        </w:tabs>
        <w:rPr>
          <w:rFonts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支持绿色发展</w:t>
      </w:r>
      <w:r>
        <w:rPr>
          <w:color w:val="auto"/>
          <w:highlight w:val="none"/>
        </w:rPr>
      </w:r>
    </w:p>
    <w:p>
      <w:pPr>
        <w:ind w:firstLine="480"/>
        <w:keepLines w:val="0"/>
        <w:keepNext w:val="0"/>
        <w:pageBreakBefore w:val="0"/>
        <w:spacing w:line="33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w:t>
      </w:r>
      <w:r>
        <w:rPr>
          <w:rFonts w:hint="eastAsia" w:ascii="宋体" w:hAnsi="宋体" w:eastAsia="宋体" w:cs="宋体"/>
          <w:color w:val="auto"/>
          <w:sz w:val="24"/>
          <w:highlight w:val="none"/>
        </w:rPr>
        <w:t xml:space="preserve">购。供应商须按</w:t>
      </w:r>
      <w:r>
        <w:rPr>
          <w:rFonts w:hint="eastAsia" w:ascii="宋体" w:hAnsi="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要求提供相关产品认证证书。</w:t>
      </w:r>
      <w:r>
        <w:rPr>
          <w:color w:val="auto"/>
          <w:highlight w:val="none"/>
        </w:rPr>
      </w:r>
    </w:p>
    <w:p>
      <w:pPr>
        <w:ind w:firstLine="480"/>
        <w:keepLines w:val="0"/>
        <w:keepNext w:val="0"/>
        <w:pageBreakBefore w:val="0"/>
        <w:spacing w:line="33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color w:val="auto"/>
          <w:highlight w:val="none"/>
        </w:rPr>
      </w:r>
    </w:p>
    <w:p>
      <w:pPr>
        <w:ind w:firstLine="480"/>
        <w:keepLines w:val="0"/>
        <w:keepNext w:val="0"/>
        <w:pageBreakBefore w:val="0"/>
        <w:spacing w:line="33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eastAsia="宋体" w:cs="宋体"/>
          <w:color w:val="auto"/>
          <w:sz w:val="24"/>
          <w:highlight w:val="none"/>
        </w:rPr>
        <w:t xml:space="preserve">政府采购项目执行《财政部 生态环境部 工业和信息化部关于印发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绿色数据中心政府采购需求标准（试行）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的通知》（财库〔2023〕7号）相关要求。</w:t>
      </w:r>
      <w:r>
        <w:rPr>
          <w:color w:val="auto"/>
          <w:highlight w:val="none"/>
        </w:rPr>
      </w:r>
    </w:p>
    <w:p>
      <w:pPr>
        <w:ind w:firstLine="480"/>
        <w:keepLines w:val="0"/>
        <w:keepNext w:val="0"/>
        <w:pageBreakBefore w:val="0"/>
        <w:spacing w:line="336"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2.4</w:t>
      </w:r>
      <w:r>
        <w:rPr>
          <w:rFonts w:hint="eastAsia" w:ascii="宋体" w:hAnsi="宋体" w:eastAsia="宋体" w:cs="宋体"/>
          <w:color w:val="auto"/>
          <w:sz w:val="24"/>
          <w:highlight w:val="none"/>
        </w:rPr>
        <w:t xml:space="preserve">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color w:val="auto"/>
          <w:highlight w:val="none"/>
        </w:rPr>
      </w:r>
    </w:p>
    <w:p>
      <w:pPr>
        <w:ind w:left="0" w:firstLine="482"/>
        <w:jc w:val="both"/>
        <w:keepLines w:val="0"/>
        <w:keepNext w:val="0"/>
        <w:pageBreakBefore w:val="0"/>
        <w:spacing w:line="336" w:lineRule="auto"/>
        <w:widowControl w:val="off"/>
        <w:tabs>
          <w:tab w:val="left" w:pos="900" w:leader="none"/>
        </w:tabs>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质疑和投诉</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质疑的提出</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提出质疑的供应商应当是参与所质疑项目采购活动的供应商。</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供应商认为</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文件、采购过程、成交结果使自己的权益受到损害的，可以在知道或者应知其权益受到损害之日（获取</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rPr>
        <w:t xml:space="preserve">文件之日、成交公告发布之日）起七个工作日内以书面形式向采购人、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机构提出质疑。供应商应当在法定质疑期内一次性提出针对同一采购程序环节的质疑。</w:t>
      </w:r>
      <w:r>
        <w:rPr>
          <w:rFonts w:hint="eastAsia" w:ascii="宋体" w:hAnsi="宋体" w:eastAsia="宋体" w:cs="宋体"/>
          <w:b/>
          <w:color w:val="auto"/>
          <w:sz w:val="24"/>
          <w:szCs w:val="24"/>
          <w:highlight w:val="none"/>
        </w:rPr>
        <w:t xml:space="preserve">未依照采购</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公告要求获取</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文件的供应商，视为未参与该项目的采购活动，不具备对该</w:t>
      </w:r>
      <w:r>
        <w:rPr>
          <w:rFonts w:hint="eastAsia" w:ascii="宋体" w:hAnsi="宋体" w:eastAsia="宋体" w:cs="宋体"/>
          <w:b/>
          <w:color w:val="auto"/>
          <w:sz w:val="24"/>
          <w:szCs w:val="24"/>
          <w:highlight w:val="none"/>
          <w:lang w:eastAsia="zh-CN"/>
        </w:rPr>
        <w:t xml:space="preserve">磋商</w:t>
      </w:r>
      <w:r>
        <w:rPr>
          <w:rFonts w:hint="eastAsia" w:ascii="宋体" w:hAnsi="宋体" w:eastAsia="宋体" w:cs="宋体"/>
          <w:b/>
          <w:color w:val="auto"/>
          <w:sz w:val="24"/>
          <w:szCs w:val="24"/>
          <w:highlight w:val="none"/>
        </w:rPr>
        <w:t xml:space="preserve">文件提出质疑的法定权利。</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rPr>
        <w:t xml:space="preserve">质疑函的接收方式为供应商书面原件提交。</w:t>
      </w:r>
      <w:r>
        <w:rPr>
          <w:rFonts w:hint="eastAsia" w:ascii="宋体" w:hAnsi="宋体" w:eastAsia="宋体" w:cs="宋体"/>
          <w:color w:val="auto"/>
          <w:sz w:val="24"/>
          <w:szCs w:val="24"/>
          <w:highlight w:val="none"/>
        </w:rPr>
        <w:t xml:space="preserve">联系部门、联系电话和通讯地址详见本磋商文件“</w:t>
      </w:r>
      <w:r>
        <w:rPr>
          <w:rFonts w:hint="eastAsia" w:ascii="宋体" w:hAnsi="宋体" w:eastAsia="宋体" w:cs="宋体"/>
          <w:color w:val="auto"/>
          <w:sz w:val="24"/>
          <w:szCs w:val="24"/>
          <w:highlight w:val="none"/>
          <w:lang w:eastAsia="zh-CN"/>
        </w:rPr>
        <w:t xml:space="preserve">竞争性磋商采购公告</w:t>
      </w:r>
      <w:r>
        <w:rPr>
          <w:rFonts w:hint="eastAsia" w:ascii="宋体" w:hAnsi="宋体" w:eastAsia="宋体" w:cs="宋体"/>
          <w:color w:val="auto"/>
          <w:sz w:val="24"/>
          <w:szCs w:val="24"/>
          <w:highlight w:val="none"/>
        </w:rPr>
        <w:t xml:space="preserve">”。质疑实行实名制，不得进行虚假、恶意质疑。</w:t>
      </w:r>
      <w:r>
        <w:rPr>
          <w:color w:val="auto"/>
          <w:highlight w:val="none"/>
        </w:rPr>
      </w:r>
    </w:p>
    <w:p>
      <w:pPr>
        <w:ind w:left="479" w:firstLine="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w:t>
      </w:r>
      <w:r>
        <w:rPr>
          <w:rFonts w:hint="eastAsia" w:ascii="宋体" w:hAnsi="宋体" w:cs="宋体"/>
          <w:color w:val="auto"/>
          <w:sz w:val="24"/>
          <w:highlight w:val="none"/>
        </w:rPr>
        <w:t xml:space="preserve">质疑函应当使用范本（详见</w:t>
      </w:r>
      <w:r>
        <w:rPr>
          <w:rFonts w:hint="eastAsia" w:ascii="宋体" w:hAnsi="宋体" w:cs="宋体"/>
          <w:color w:val="auto"/>
          <w:sz w:val="24"/>
          <w:highlight w:val="none"/>
          <w:lang w:val="en-US" w:eastAsia="zh-CN"/>
        </w:rPr>
        <w:t xml:space="preserve">格式</w:t>
      </w:r>
      <w:r>
        <w:rPr>
          <w:rFonts w:hint="eastAsia" w:ascii="宋体" w:hAnsi="宋体" w:cs="宋体"/>
          <w:color w:val="auto"/>
          <w:sz w:val="24"/>
          <w:highlight w:val="none"/>
        </w:rPr>
        <w:t xml:space="preserve">）。</w:t>
      </w:r>
      <w:r>
        <w:rPr>
          <w:rFonts w:hint="eastAsia" w:ascii="宋体" w:hAnsi="宋体" w:eastAsia="宋体" w:cs="宋体"/>
          <w:color w:val="auto"/>
          <w:sz w:val="24"/>
          <w:szCs w:val="24"/>
          <w:highlight w:val="none"/>
        </w:rPr>
        <w:t xml:space="preserve">供应商提出质疑应当</w:t>
      </w:r>
      <w:r>
        <w:rPr>
          <w:rFonts w:hint="eastAsia" w:ascii="宋体" w:hAnsi="宋体" w:eastAsia="宋体" w:cs="宋体"/>
          <w:b/>
          <w:color w:val="auto"/>
          <w:sz w:val="24"/>
          <w:szCs w:val="24"/>
          <w:highlight w:val="none"/>
        </w:rPr>
        <w:t xml:space="preserve">提交质疑函和必要的证明材料</w:t>
      </w:r>
      <w:r>
        <w:rPr>
          <w:rFonts w:hint="eastAsia" w:ascii="宋体" w:hAnsi="宋体" w:eastAsia="宋体" w:cs="宋体"/>
          <w:color w:val="auto"/>
          <w:sz w:val="24"/>
          <w:szCs w:val="24"/>
          <w:highlight w:val="none"/>
        </w:rPr>
        <w:t xml:space="preserve">。应当包括下列内容：</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b/>
          <w:color w:val="auto"/>
          <w:sz w:val="24"/>
          <w:szCs w:val="24"/>
          <w:highlight w:val="none"/>
        </w:rPr>
        <w:t xml:space="preserve">必要的证明材料；</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（8）营业执照复印件及法定代表人授权委托书、法定代表人身份证复印件、委托代理人身份证复印件。</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质疑函的受理和答复</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4"/>
          <w:szCs w:val="24"/>
          <w:highlight w:val="none"/>
        </w:rPr>
        <w:t xml:space="preserve">对不能提供必要的证明材料的、涉及商业秘密的、非书面原件形式的、匿名的质疑函将不予受理</w:t>
      </w:r>
      <w:r>
        <w:rPr>
          <w:rFonts w:hint="eastAsia" w:ascii="宋体" w:hAnsi="宋体" w:eastAsia="宋体" w:cs="宋体"/>
          <w:color w:val="auto"/>
          <w:sz w:val="24"/>
          <w:szCs w:val="24"/>
          <w:highlight w:val="none"/>
        </w:rPr>
        <w:t xml:space="preserve">。必要的证明材料要具备客观性、关联性、合法性，无法查实的（如宣传册、媒体报道、猜测、推理等）不能作为证明材料。采购人、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机构不负责搜集必要的证明材料等工作。</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在处理过程中，发现需要质疑供应商进一步补充必要的证明材料的，质疑供应商应在法定的时间内提供，质疑答复时间相应顺延。质疑供应商不能按时提供必要的证明材料的，视同放弃质疑。</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 对不符合质疑要求的，采购人、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机构有权要求其补充必要的证明材料，质疑供应商未在法定的时间内提供补充必要的证明材料的，视同放弃质疑。</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采购人、</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质疑处理</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质疑供应商不按照法定程序进行质疑投诉的，视为一般失信行为。</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 质疑供应商不配合或者采用不正当手段干扰采购质疑、投诉处理工作的，视为一般失信行为。</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质疑供应商投诉受理期间，就同一事项多头举报，干扰财政部门投诉处理的，视为一般失信行为。</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 质疑供应商在全国范围12个月内三次以上质疑查无实据的，视为一般失信行为。</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auto"/>
          <w:highlight w:val="none"/>
        </w:rPr>
      </w:r>
    </w:p>
    <w:p>
      <w:pPr>
        <w:ind w:left="0" w:firstLine="480"/>
        <w:jc w:val="both"/>
        <w:keepLines w:val="0"/>
        <w:keepNext w:val="0"/>
        <w:pageBreakBefore w:val="0"/>
        <w:spacing w:line="336" w:lineRule="auto"/>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3.6未尽事宜，依照有关法律、法规执行。</w:t>
      </w:r>
      <w:r>
        <w:rPr>
          <w:color w:val="auto"/>
          <w:highlight w:val="none"/>
        </w:rPr>
      </w:r>
    </w:p>
    <w:p>
      <w:pPr>
        <w:ind w:left="0" w:firstLine="480"/>
        <w:jc w:val="both"/>
        <w:keepLines w:val="0"/>
        <w:keepNext w:val="0"/>
        <w:pageBreakBefore w:val="0"/>
        <w:spacing w:line="336"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投诉</w:t>
      </w:r>
      <w:r>
        <w:rPr>
          <w:color w:val="auto"/>
          <w:highlight w:val="none"/>
        </w:rP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投诉事项依照有关法律、法规执行。</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cs="宋体"/>
          <w:b/>
          <w:bCs/>
          <w:color w:val="auto"/>
          <w:sz w:val="44"/>
          <w:szCs w:val="44"/>
          <w:highlight w:val="none"/>
        </w:rPr>
        <w:outlineLvl w:val="9"/>
      </w:pPr>
      <w:r>
        <w:rPr>
          <w:color w:val="auto"/>
          <w:highlight w:val="none"/>
        </w:rPr>
      </w:r>
      <w:bookmarkStart w:id="90" w:name="_Toc465856613"/>
      <w:r>
        <w:rPr>
          <w:color w:val="auto"/>
          <w:highlight w:val="none"/>
        </w:rPr>
      </w:r>
      <w:bookmarkStart w:id="91" w:name="_Toc31203"/>
      <w:r>
        <w:rPr>
          <w:color w:val="auto"/>
          <w:highlight w:val="none"/>
        </w:rPr>
      </w:r>
      <w:bookmarkStart w:id="92" w:name="_Toc14554"/>
      <w:r>
        <w:rPr>
          <w:color w:val="auto"/>
          <w:highlight w:val="none"/>
        </w:rPr>
      </w:r>
      <w:bookmarkStart w:id="93" w:name="_Toc18421"/>
      <w:r>
        <w:rPr>
          <w:rFonts w:hint="eastAsia" w:ascii="宋体" w:hAnsi="宋体" w:cs="宋体"/>
          <w:b/>
          <w:bCs/>
          <w:color w:val="auto"/>
          <w:sz w:val="44"/>
          <w:szCs w:val="44"/>
          <w:highlight w:val="none"/>
          <w:lang w:val="en-US" w:eastAsia="zh-CN"/>
        </w:rPr>
        <w:t xml:space="preserve">           </w:t>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cs="宋体"/>
          <w:b/>
          <w:bCs/>
          <w:color w:val="auto"/>
          <w:sz w:val="44"/>
          <w:szCs w:val="44"/>
          <w:highlight w:val="none"/>
        </w:rPr>
        <w:outlineLvl w:val="9"/>
      </w:pPr>
      <w:r>
        <w:rPr>
          <w:rFonts w:hint="eastAsia" w:ascii="宋体" w:hAnsi="宋体" w:cs="宋体"/>
          <w:b/>
          <w:bCs/>
          <w:color w:val="auto"/>
          <w:sz w:val="44"/>
          <w:szCs w:val="44"/>
          <w:highlight w:val="none"/>
          <w:lang w:val="en-US" w:eastAsia="zh-CN"/>
        </w:rPr>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cs="宋体"/>
          <w:b/>
          <w:bCs/>
          <w:color w:val="auto"/>
          <w:sz w:val="44"/>
          <w:szCs w:val="44"/>
          <w:highlight w:val="none"/>
        </w:rPr>
        <w:outlineLvl w:val="9"/>
      </w:pPr>
      <w:r>
        <w:rPr>
          <w:rFonts w:hint="eastAsia" w:ascii="宋体" w:hAnsi="宋体" w:cs="宋体"/>
          <w:b/>
          <w:bCs/>
          <w:color w:val="auto"/>
          <w:sz w:val="44"/>
          <w:szCs w:val="44"/>
          <w:highlight w:val="none"/>
          <w:lang w:val="en-US" w:eastAsia="zh-CN"/>
        </w:rPr>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cs="宋体"/>
          <w:b/>
          <w:bCs/>
          <w:color w:val="auto"/>
          <w:sz w:val="44"/>
          <w:szCs w:val="44"/>
          <w:highlight w:val="none"/>
        </w:rPr>
        <w:outlineLvl w:val="9"/>
      </w:pPr>
      <w:r>
        <w:rPr>
          <w:rFonts w:hint="eastAsia" w:ascii="宋体" w:hAnsi="宋体" w:cs="宋体"/>
          <w:b/>
          <w:bCs/>
          <w:color w:val="auto"/>
          <w:sz w:val="44"/>
          <w:szCs w:val="44"/>
          <w:highlight w:val="none"/>
          <w:lang w:val="en-US" w:eastAsia="zh-CN"/>
        </w:rPr>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cs="宋体"/>
          <w:b/>
          <w:bCs/>
          <w:color w:val="auto"/>
          <w:sz w:val="44"/>
          <w:szCs w:val="44"/>
          <w:highlight w:val="none"/>
        </w:rPr>
        <w:outlineLvl w:val="9"/>
      </w:pPr>
      <w:r>
        <w:rPr>
          <w:rFonts w:hint="eastAsia" w:ascii="宋体" w:hAnsi="宋体" w:cs="宋体"/>
          <w:b/>
          <w:bCs/>
          <w:color w:val="auto"/>
          <w:sz w:val="44"/>
          <w:szCs w:val="44"/>
          <w:highlight w:val="none"/>
          <w:lang w:val="en-US" w:eastAsia="zh-CN"/>
        </w:rPr>
      </w:r>
      <w:r>
        <w:rPr>
          <w:color w:val="auto"/>
          <w:highlight w:val="none"/>
        </w:rPr>
      </w:r>
    </w:p>
    <w:p>
      <w:pPr>
        <w:pStyle w:val="941"/>
        <w:ind w:left="0" w:firstLine="482"/>
        <w:jc w:val="both"/>
        <w:keepLines w:val="0"/>
        <w:keepNext w:val="0"/>
        <w:pageBreakBefore w:val="0"/>
        <w:spacing w:before="0" w:after="0" w:line="360" w:lineRule="auto"/>
        <w:widowControl w:val="off"/>
        <w:rPr>
          <w:rFonts w:hint="eastAsia" w:ascii="宋体" w:hAnsi="宋体" w:cs="宋体"/>
          <w:b/>
          <w:bCs/>
          <w:color w:val="auto"/>
          <w:sz w:val="44"/>
          <w:szCs w:val="44"/>
          <w:highlight w:val="none"/>
        </w:rPr>
        <w:outlineLvl w:val="9"/>
      </w:pPr>
      <w:r>
        <w:rPr>
          <w:rFonts w:hint="eastAsia" w:ascii="宋体" w:hAnsi="宋体" w:cs="宋体"/>
          <w:b/>
          <w:bCs/>
          <w:color w:val="auto"/>
          <w:sz w:val="44"/>
          <w:szCs w:val="44"/>
          <w:highlight w:val="none"/>
          <w:lang w:val="en-US" w:eastAsia="zh-CN"/>
        </w:rPr>
      </w:r>
      <w:r>
        <w:rPr>
          <w:color w:val="auto"/>
          <w:highlight w:val="none"/>
        </w:rPr>
      </w:r>
    </w:p>
    <w:p>
      <w:pPr>
        <w:pStyle w:val="709"/>
        <w:jc w:val="center"/>
        <w:rPr>
          <w:rFonts w:hint="eastAsia"/>
          <w:b/>
          <w:bCs/>
          <w:color w:val="auto"/>
          <w:highlight w:val="none"/>
        </w:rPr>
      </w:pPr>
      <w:r>
        <w:rPr>
          <w:color w:val="auto"/>
          <w:highlight w:val="none"/>
        </w:rPr>
      </w:r>
      <w:bookmarkStart w:id="94" w:name="_Toc25340"/>
      <w:r>
        <w:rPr>
          <w:rFonts w:hint="eastAsia"/>
          <w:b/>
          <w:bCs/>
          <w:color w:val="auto"/>
          <w:highlight w:val="none"/>
        </w:rPr>
        <w:t xml:space="preserve">第三章 合同条款及格式</w:t>
      </w:r>
      <w:bookmarkEnd w:id="90"/>
      <w:r>
        <w:rPr>
          <w:color w:val="auto"/>
          <w:highlight w:val="none"/>
        </w:rPr>
      </w:r>
      <w:bookmarkEnd w:id="91"/>
      <w:r>
        <w:rPr>
          <w:color w:val="auto"/>
          <w:highlight w:val="none"/>
        </w:rPr>
      </w:r>
      <w:bookmarkEnd w:id="92"/>
      <w:r>
        <w:rPr>
          <w:color w:val="auto"/>
          <w:highlight w:val="none"/>
        </w:rPr>
      </w:r>
      <w:bookmarkEnd w:id="93"/>
      <w:r>
        <w:rPr>
          <w:color w:val="auto"/>
          <w:highlight w:val="none"/>
        </w:rPr>
      </w:r>
      <w:bookmarkEnd w:id="94"/>
      <w:r>
        <w:rPr>
          <w:color w:val="auto"/>
          <w:highlight w:val="none"/>
        </w:rPr>
      </w:r>
      <w:bookmarkStart w:id="95" w:name="_Hlt16619369"/>
      <w:r>
        <w:rPr>
          <w:color w:val="auto"/>
          <w:highlight w:val="none"/>
        </w:rPr>
      </w:r>
      <w:bookmarkEnd w:id="95"/>
      <w:r>
        <w:rPr>
          <w:color w:val="auto"/>
          <w:highlight w:val="none"/>
        </w:rPr>
      </w:r>
      <w:r>
        <w:rPr>
          <w:color w:val="auto"/>
          <w:highlight w:val="none"/>
        </w:rP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ind w:firstLine="2078"/>
        <w:rPr>
          <w:rFonts w:hint="eastAsia" w:ascii="宋体" w:hAnsi="宋体" w:eastAsia="宋体" w:cs="宋体"/>
          <w:b/>
          <w:bCs/>
          <w:color w:val="auto"/>
          <w:sz w:val="52"/>
          <w:highlight w:val="none"/>
        </w:rPr>
      </w:pPr>
      <w:r>
        <w:rPr>
          <w:color w:val="auto"/>
          <w:highlight w:val="none"/>
        </w:rPr>
      </w:r>
      <w:bookmarkStart w:id="96" w:name="_Toc29722"/>
      <w:r>
        <w:rPr>
          <w:color w:val="auto"/>
          <w:highlight w:val="none"/>
        </w:rPr>
      </w:r>
      <w:bookmarkStart w:id="97" w:name="_Toc465856614"/>
      <w:r>
        <w:rPr>
          <w:color w:val="auto"/>
          <w:highlight w:val="none"/>
        </w:rPr>
      </w:r>
      <w:bookmarkStart w:id="98" w:name="_Toc12693"/>
      <w:r>
        <w:rPr>
          <w:rFonts w:hint="eastAsia" w:ascii="宋体" w:hAnsi="宋体" w:eastAsia="宋体" w:cs="宋体"/>
          <w:b/>
          <w:bCs/>
          <w:color w:val="auto"/>
          <w:sz w:val="52"/>
          <w:highlight w:val="none"/>
        </w:rPr>
        <w:t xml:space="preserve">连 云 港 市 政 府 采 购</w:t>
      </w:r>
      <w:r>
        <w:rPr>
          <w:color w:val="auto"/>
          <w:highlight w:val="none"/>
        </w:rP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ind w:firstLine="883"/>
        <w:jc w:val="center"/>
        <w:rPr>
          <w:rFonts w:hint="eastAsia" w:ascii="宋体" w:hAnsi="宋体" w:eastAsia="宋体" w:cs="宋体"/>
          <w:b/>
          <w:bCs/>
          <w:color w:val="auto"/>
          <w:sz w:val="44"/>
          <w:highlight w:val="none"/>
          <w:u w:val="single"/>
        </w:rPr>
      </w:pPr>
      <w:r>
        <w:rPr>
          <w:rFonts w:hint="eastAsia" w:ascii="宋体" w:hAnsi="宋体" w:eastAsia="宋体" w:cs="宋体"/>
          <w:b/>
          <w:bCs/>
          <w:color w:val="auto"/>
          <w:sz w:val="44"/>
          <w:highlight w:val="none"/>
          <w:u w:val="single"/>
        </w:rPr>
      </w:r>
      <w:r>
        <w:rPr>
          <w:color w:val="auto"/>
          <w:highlight w:val="none"/>
        </w:rPr>
      </w:r>
    </w:p>
    <w:p>
      <w:pPr>
        <w:ind w:firstLine="883"/>
        <w:jc w:val="center"/>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rPr>
          <w:color w:val="auto"/>
          <w:highlight w:val="none"/>
        </w:rPr>
      </w:r>
    </w:p>
    <w:p>
      <w:pPr>
        <w:ind w:firstLine="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ind w:firstLine="0"/>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ind w:firstLine="0"/>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rPr>
          <w:color w:val="auto"/>
          <w:highlight w:val="none"/>
        </w:rPr>
      </w:r>
    </w:p>
    <w:p>
      <w:pPr>
        <w:ind w:firstLine="196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rPr>
          <w:color w:val="auto"/>
          <w:highlight w:val="none"/>
        </w:rP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rPr>
          <w:color w:val="auto"/>
          <w:highlight w:val="none"/>
        </w:rP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rPr>
          <w:color w:val="auto"/>
          <w:highlight w:val="none"/>
        </w:rPr>
      </w:r>
    </w:p>
    <w:p>
      <w:pPr>
        <w:ind w:firstLine="880"/>
        <w:rPr>
          <w:rFonts w:hint="eastAsia" w:ascii="宋体" w:hAnsi="宋体" w:eastAsia="宋体" w:cs="宋体"/>
          <w:color w:val="auto"/>
          <w:sz w:val="44"/>
          <w:highlight w:val="none"/>
        </w:rPr>
      </w:pPr>
      <w:r>
        <w:rPr>
          <w:rFonts w:hint="eastAsia" w:ascii="宋体" w:hAnsi="宋体" w:eastAsia="宋体" w:cs="宋体"/>
          <w:color w:val="auto"/>
          <w:sz w:val="44"/>
          <w:highlight w:val="none"/>
        </w:rPr>
      </w:r>
      <w:r>
        <w:rPr>
          <w:color w:val="auto"/>
          <w:highlight w:val="none"/>
        </w:rPr>
      </w:r>
    </w:p>
    <w:p>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lang w:val="en-US" w:eastAsia="zh-CN"/>
        </w:rPr>
        <w:t xml:space="preserve">发包</w:t>
      </w:r>
      <w:r>
        <w:rPr>
          <w:rFonts w:hint="eastAsia" w:ascii="宋体" w:hAnsi="宋体" w:eastAsia="宋体" w:cs="宋体"/>
          <w:b/>
          <w:bCs/>
          <w:color w:val="auto"/>
          <w:sz w:val="44"/>
          <w:highlight w:val="none"/>
          <w:lang w:eastAsia="zh-CN"/>
        </w:rPr>
        <w:t xml:space="preserve">人</w:t>
      </w:r>
      <w:r>
        <w:rPr>
          <w:rFonts w:hint="eastAsia" w:ascii="宋体" w:hAnsi="宋体" w:eastAsia="宋体" w:cs="宋体"/>
          <w:b/>
          <w:bCs/>
          <w:color w:val="auto"/>
          <w:sz w:val="44"/>
          <w:highlight w:val="none"/>
        </w:rPr>
        <w:t xml:space="preserve">：</w:t>
      </w:r>
      <w:r>
        <w:rPr>
          <w:color w:val="auto"/>
          <w:highlight w:val="none"/>
        </w:rPr>
      </w:r>
    </w:p>
    <w:p>
      <w:pPr>
        <w:ind w:firstLine="1758"/>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lang w:val="en-US" w:eastAsia="zh-CN"/>
        </w:rPr>
        <w:t xml:space="preserve">承包</w:t>
      </w:r>
      <w:r>
        <w:rPr>
          <w:rFonts w:hint="eastAsia" w:ascii="宋体" w:hAnsi="宋体" w:eastAsia="宋体" w:cs="宋体"/>
          <w:b/>
          <w:bCs/>
          <w:color w:val="auto"/>
          <w:sz w:val="44"/>
          <w:highlight w:val="none"/>
        </w:rPr>
        <w:t xml:space="preserve">人：</w:t>
      </w:r>
      <w:r>
        <w:rPr>
          <w:color w:val="auto"/>
          <w:highlight w:val="none"/>
        </w:rP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ind w:firstLine="0"/>
        <w:jc w:val="center"/>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b/>
          <w:color w:val="auto"/>
          <w:sz w:val="32"/>
          <w:szCs w:val="32"/>
          <w:highlight w:val="none"/>
        </w:rPr>
        <w:t xml:space="preserve">连云港市政府采购合同</w:t>
      </w:r>
      <w:r>
        <w:rPr>
          <w:color w:val="auto"/>
          <w:highlight w:val="none"/>
        </w:rPr>
      </w:r>
    </w:p>
    <w:p>
      <w:pPr>
        <w:pStyle w:val="711"/>
        <w:ind w:firstLine="0"/>
        <w:jc w:val="center"/>
        <w:keepLines/>
        <w:keepNext/>
        <w:pageBreakBefore w:val="0"/>
        <w:widowControl w:val="off"/>
        <w:rPr>
          <w:b w:val="0"/>
          <w:color w:val="auto"/>
          <w:sz w:val="30"/>
          <w:szCs w:val="30"/>
          <w:highlight w:val="none"/>
        </w:rPr>
      </w:pPr>
      <w:r>
        <w:rPr>
          <w:color w:val="auto"/>
          <w:highlight w:val="none"/>
        </w:rPr>
      </w:r>
      <w:bookmarkStart w:id="99" w:name="_Toc28906"/>
      <w:r>
        <w:rPr>
          <w:rFonts w:hint="eastAsia"/>
          <w:color w:val="auto"/>
          <w:sz w:val="30"/>
          <w:szCs w:val="30"/>
          <w:highlight w:val="none"/>
          <w:lang w:eastAsia="zh-CN"/>
        </w:rPr>
        <w:t xml:space="preserve">第一部分 合同协议书</w:t>
      </w:r>
      <w:bookmarkEnd w:id="99"/>
      <w:r>
        <w:rPr>
          <w:color w:val="auto"/>
          <w:highlight w:val="none"/>
        </w:rPr>
      </w:r>
      <w:r>
        <w:rPr>
          <w:color w:val="auto"/>
          <w:highlight w:val="none"/>
        </w:rPr>
      </w:r>
    </w:p>
    <w:p>
      <w:pPr>
        <w:spacing w:line="360" w:lineRule="auto"/>
        <w:rPr>
          <w:b/>
          <w:color w:val="auto"/>
          <w:sz w:val="24"/>
          <w:szCs w:val="24"/>
          <w:highlight w:val="none"/>
          <w:u w:val="single"/>
        </w:rPr>
      </w:pPr>
      <w:r>
        <w:rPr>
          <w:rFonts w:hint="eastAsia"/>
          <w:b/>
          <w:color w:val="auto"/>
          <w:sz w:val="24"/>
          <w:szCs w:val="24"/>
          <w:highlight w:val="none"/>
          <w:lang w:eastAsia="zh-CN"/>
        </w:rPr>
        <w:t xml:space="preserve">发包人（全称）：</w:t>
      </w:r>
      <w:r>
        <w:rPr>
          <w:color w:val="auto"/>
          <w:highlight w:val="none"/>
        </w:rPr>
      </w:r>
    </w:p>
    <w:p>
      <w:pPr>
        <w:spacing w:line="360" w:lineRule="auto"/>
        <w:rPr>
          <w:color w:val="auto"/>
          <w:sz w:val="24"/>
          <w:szCs w:val="24"/>
          <w:highlight w:val="none"/>
          <w:u w:val="single"/>
        </w:rPr>
      </w:pPr>
      <w:r>
        <w:rPr>
          <w:rFonts w:hint="eastAsia"/>
          <w:b/>
          <w:color w:val="auto"/>
          <w:sz w:val="24"/>
          <w:szCs w:val="24"/>
          <w:highlight w:val="none"/>
          <w:lang w:eastAsia="zh-CN"/>
        </w:rPr>
        <w:t xml:space="preserve">承包人（全称）：</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根据《中华人民共和国民法典》、《中华人民共和国建筑法》及有关法律规定，遵循平等、自愿、公平和诚实信用的原则，双方就</w:t>
      </w:r>
      <w:r>
        <w:rPr>
          <w:rFonts w:hint="eastAsia"/>
          <w:b/>
          <w:bCs/>
          <w:color w:val="auto"/>
          <w:sz w:val="24"/>
          <w:szCs w:val="24"/>
          <w:highlight w:val="none"/>
          <w:u w:val="single"/>
          <w:lang w:eastAsia="zh-CN"/>
        </w:rPr>
        <w:t xml:space="preserve">东院区用电增容项目改造施工（专门面向中小企业）</w:t>
      </w:r>
      <w:r>
        <w:rPr>
          <w:rFonts w:hint="eastAsia"/>
          <w:color w:val="auto"/>
          <w:sz w:val="24"/>
          <w:szCs w:val="24"/>
          <w:highlight w:val="none"/>
          <w:lang w:eastAsia="zh-CN"/>
        </w:rPr>
        <w:t xml:space="preserve">及有关事项协商一致，共同达成如下协议：</w:t>
      </w:r>
      <w:r>
        <w:rPr>
          <w:color w:val="auto"/>
          <w:highlight w:val="none"/>
        </w:rPr>
      </w:r>
    </w:p>
    <w:p>
      <w:pPr>
        <w:pStyle w:val="712"/>
        <w:jc w:val="left"/>
        <w:spacing w:before="120" w:after="120"/>
        <w:rPr>
          <w:bCs w:val="0"/>
          <w:color w:val="auto"/>
          <w:sz w:val="24"/>
          <w:szCs w:val="24"/>
          <w:highlight w:val="none"/>
        </w:rPr>
      </w:pPr>
      <w:r>
        <w:rPr>
          <w:color w:val="auto"/>
          <w:highlight w:val="none"/>
        </w:rPr>
      </w:r>
      <w:bookmarkStart w:id="100" w:name="_Toc351203481"/>
      <w:r>
        <w:rPr>
          <w:rFonts w:hint="eastAsia"/>
          <w:b w:val="0"/>
          <w:color w:val="auto"/>
          <w:sz w:val="24"/>
          <w:szCs w:val="24"/>
          <w:highlight w:val="none"/>
          <w:lang w:eastAsia="zh-CN"/>
        </w:rPr>
        <w:t xml:space="preserve">一、工程概况</w:t>
      </w:r>
      <w:bookmarkEnd w:id="100"/>
      <w:r>
        <w:rPr>
          <w:color w:val="auto"/>
          <w:highlight w:val="none"/>
        </w:rPr>
      </w:r>
      <w:r>
        <w:rPr>
          <w:color w:val="auto"/>
          <w:highlight w:val="none"/>
        </w:rPr>
      </w:r>
    </w:p>
    <w:p>
      <w:pPr>
        <w:ind w:firstLine="470"/>
        <w:spacing w:line="360" w:lineRule="auto"/>
        <w:rPr>
          <w:color w:val="auto"/>
          <w:sz w:val="24"/>
          <w:szCs w:val="24"/>
          <w:highlight w:val="none"/>
        </w:rPr>
      </w:pPr>
      <w:r>
        <w:rPr>
          <w:rFonts w:hint="eastAsia"/>
          <w:bCs/>
          <w:color w:val="auto"/>
          <w:sz w:val="24"/>
          <w:szCs w:val="24"/>
          <w:highlight w:val="none"/>
          <w:lang w:eastAsia="zh-CN"/>
        </w:rPr>
        <w:t xml:space="preserve">1.工程名称</w:t>
      </w:r>
      <w:r>
        <w:rPr>
          <w:rFonts w:hint="eastAsia"/>
          <w:color w:val="auto"/>
          <w:sz w:val="24"/>
          <w:szCs w:val="24"/>
          <w:highlight w:val="none"/>
          <w:lang w:eastAsia="zh-CN"/>
        </w:rPr>
        <w:t xml:space="preserve">：东院区用电增容项目改造施工（专门面向中小企业）</w:t>
      </w:r>
      <w:r>
        <w:rPr>
          <w:color w:val="auto"/>
          <w:highlight w:val="none"/>
        </w:rPr>
      </w:r>
    </w:p>
    <w:p>
      <w:pPr>
        <w:ind w:firstLine="470"/>
        <w:spacing w:line="360" w:lineRule="auto"/>
        <w:rPr>
          <w:bCs/>
          <w:color w:val="auto"/>
          <w:sz w:val="24"/>
          <w:szCs w:val="24"/>
          <w:highlight w:val="none"/>
        </w:rPr>
      </w:pPr>
      <w:r>
        <w:rPr>
          <w:rFonts w:hint="eastAsia"/>
          <w:bCs/>
          <w:color w:val="auto"/>
          <w:sz w:val="24"/>
          <w:szCs w:val="24"/>
          <w:highlight w:val="none"/>
          <w:lang w:eastAsia="zh-CN"/>
        </w:rPr>
        <w:t xml:space="preserve">2.工程地点：</w:t>
      </w:r>
      <w:r>
        <w:rPr>
          <w:rFonts w:hint="eastAsia"/>
          <w:bCs/>
          <w:color w:val="auto"/>
          <w:sz w:val="24"/>
          <w:szCs w:val="24"/>
          <w:highlight w:val="none"/>
          <w:lang w:val="en-US" w:eastAsia="zh-CN"/>
        </w:rPr>
        <w:t xml:space="preserve"> </w:t>
      </w:r>
      <w:r>
        <w:rPr>
          <w:rFonts w:hint="eastAsia"/>
          <w:bCs/>
          <w:color w:val="auto"/>
          <w:sz w:val="24"/>
          <w:szCs w:val="24"/>
          <w:highlight w:val="none"/>
          <w:lang w:eastAsia="zh-CN"/>
        </w:rPr>
        <w:t xml:space="preserve">   </w:t>
      </w:r>
      <w:r>
        <w:rPr>
          <w:color w:val="auto"/>
          <w:highlight w:val="none"/>
        </w:rPr>
      </w:r>
    </w:p>
    <w:p>
      <w:pPr>
        <w:ind w:firstLine="470"/>
        <w:spacing w:line="360" w:lineRule="auto"/>
        <w:rPr>
          <w:bCs/>
          <w:color w:val="auto"/>
          <w:sz w:val="24"/>
          <w:szCs w:val="24"/>
          <w:highlight w:val="none"/>
        </w:rPr>
      </w:pPr>
      <w:r>
        <w:rPr>
          <w:rFonts w:hint="eastAsia"/>
          <w:bCs/>
          <w:color w:val="auto"/>
          <w:sz w:val="24"/>
          <w:szCs w:val="24"/>
          <w:highlight w:val="none"/>
          <w:lang w:val="en-US" w:eastAsia="zh-CN"/>
        </w:rPr>
        <w:t xml:space="preserve">3</w:t>
      </w:r>
      <w:r>
        <w:rPr>
          <w:rFonts w:hint="eastAsia"/>
          <w:bCs/>
          <w:color w:val="auto"/>
          <w:sz w:val="24"/>
          <w:szCs w:val="24"/>
          <w:highlight w:val="none"/>
          <w:lang w:eastAsia="zh-CN"/>
        </w:rPr>
        <w:t xml:space="preserve">.资金来源：               </w:t>
      </w:r>
      <w:r>
        <w:rPr>
          <w:color w:val="auto"/>
          <w:highlight w:val="none"/>
        </w:rPr>
      </w:r>
    </w:p>
    <w:p>
      <w:pPr>
        <w:ind w:firstLine="470"/>
        <w:spacing w:line="360" w:lineRule="auto"/>
        <w:rPr>
          <w:bCs/>
          <w:color w:val="auto"/>
          <w:sz w:val="24"/>
          <w:szCs w:val="24"/>
          <w:highlight w:val="none"/>
        </w:rPr>
      </w:pPr>
      <w:r>
        <w:rPr>
          <w:rFonts w:hint="eastAsia"/>
          <w:bCs/>
          <w:color w:val="auto"/>
          <w:sz w:val="24"/>
          <w:szCs w:val="24"/>
          <w:highlight w:val="none"/>
          <w:lang w:val="en-US" w:eastAsia="zh-CN"/>
        </w:rPr>
        <w:t xml:space="preserve">4</w:t>
      </w:r>
      <w:r>
        <w:rPr>
          <w:rFonts w:hint="eastAsia"/>
          <w:bCs/>
          <w:color w:val="auto"/>
          <w:sz w:val="24"/>
          <w:szCs w:val="24"/>
          <w:highlight w:val="none"/>
          <w:lang w:eastAsia="zh-CN"/>
        </w:rPr>
        <w:t xml:space="preserve">.工程内容：               </w:t>
      </w:r>
      <w:r>
        <w:rPr>
          <w:color w:val="auto"/>
          <w:highlight w:val="none"/>
        </w:rPr>
      </w:r>
    </w:p>
    <w:p>
      <w:pPr>
        <w:pStyle w:val="712"/>
        <w:jc w:val="left"/>
        <w:spacing w:before="120" w:after="120"/>
        <w:rPr>
          <w:rFonts w:hint="eastAsia" w:ascii="宋体" w:hAnsi="宋体" w:eastAsia="宋体" w:cs="宋体"/>
          <w:b w:val="0"/>
          <w:color w:val="auto"/>
          <w:sz w:val="24"/>
          <w:szCs w:val="24"/>
          <w:highlight w:val="none"/>
        </w:rPr>
      </w:pPr>
      <w:r>
        <w:rPr>
          <w:color w:val="auto"/>
          <w:highlight w:val="none"/>
        </w:rPr>
      </w:r>
      <w:bookmarkStart w:id="101" w:name="_Toc351203482"/>
      <w:r>
        <w:rPr>
          <w:rFonts w:hint="eastAsia" w:ascii="宋体" w:hAnsi="宋体" w:eastAsia="宋体" w:cs="宋体"/>
          <w:b w:val="0"/>
          <w:color w:val="auto"/>
          <w:sz w:val="24"/>
          <w:szCs w:val="24"/>
          <w:highlight w:val="none"/>
          <w:lang w:eastAsia="zh-CN"/>
        </w:rPr>
        <w:t xml:space="preserve">二、合同工期</w:t>
      </w:r>
      <w:bookmarkEnd w:id="101"/>
      <w:r>
        <w:rPr>
          <w:color w:val="auto"/>
          <w:highlight w:val="none"/>
        </w:rPr>
      </w:r>
      <w:r>
        <w:rPr>
          <w:color w:val="auto"/>
          <w:highlight w:val="none"/>
        </w:rPr>
      </w:r>
    </w:p>
    <w:p>
      <w:pPr>
        <w:ind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计划开工日期：</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日。</w:t>
      </w:r>
      <w:r>
        <w:rPr>
          <w:color w:val="auto"/>
          <w:highlight w:val="none"/>
        </w:rPr>
      </w:r>
    </w:p>
    <w:p>
      <w:pPr>
        <w:ind w:firstLine="459"/>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计划竣工日期：</w:t>
      </w:r>
      <w:r>
        <w:rPr>
          <w:rFonts w:hint="eastAsia" w:ascii="宋体" w:hAnsi="宋体" w:eastAsia="宋体" w:cs="宋体"/>
          <w:color w:val="auto"/>
          <w:sz w:val="24"/>
          <w:szCs w:val="24"/>
          <w:highlight w:val="none"/>
          <w:u w:val="single"/>
          <w:lang w:val="en-US" w:eastAsia="zh-CN"/>
        </w:rPr>
        <w:t xml:space="preserve">2025</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日。</w:t>
      </w:r>
      <w:r>
        <w:rPr>
          <w:color w:val="auto"/>
          <w:highlight w:val="none"/>
        </w:rPr>
      </w:r>
    </w:p>
    <w:p>
      <w:pPr>
        <w:ind w:firstLine="459"/>
        <w:spacing w:line="360" w:lineRule="auto"/>
        <w:rPr>
          <w:color w:val="auto"/>
          <w:sz w:val="24"/>
          <w:szCs w:val="24"/>
          <w:highlight w:val="none"/>
        </w:rPr>
      </w:pPr>
      <w:r>
        <w:rPr>
          <w:rFonts w:hint="eastAsia" w:ascii="宋体" w:hAnsi="宋体" w:eastAsia="宋体" w:cs="宋体"/>
          <w:color w:val="auto"/>
          <w:sz w:val="24"/>
          <w:szCs w:val="24"/>
          <w:highlight w:val="none"/>
          <w:lang w:eastAsia="zh-CN"/>
        </w:rPr>
        <w:t xml:space="preserve">工期总日历天数：</w:t>
      </w:r>
      <w:r>
        <w:rPr>
          <w:rFonts w:hint="eastAsia" w:ascii="宋体" w:hAnsi="宋体" w:cs="宋体"/>
          <w:color w:val="auto"/>
          <w:sz w:val="24"/>
          <w:szCs w:val="24"/>
          <w:highlight w:val="none"/>
          <w:u w:val="single"/>
          <w:lang w:val="en-US" w:eastAsia="zh-CN"/>
        </w:rPr>
        <w:t xml:space="preserve">     </w:t>
      </w:r>
      <w:r>
        <w:rPr>
          <w:rFonts w:hint="eastAsia" w:ascii="宋体" w:hAnsi="宋体" w:cs="宋体"/>
          <w:b w:val="0"/>
          <w:bCs w:val="0"/>
          <w:color w:val="auto"/>
          <w:sz w:val="24"/>
          <w:szCs w:val="24"/>
          <w:highlight w:val="none"/>
          <w:u w:val="single"/>
          <w:lang w:val="en-US" w:eastAsia="zh-CN"/>
        </w:rPr>
        <w:t xml:space="preserve">日历天</w:t>
      </w:r>
      <w:r>
        <w:rPr>
          <w:rFonts w:hint="eastAsia" w:ascii="宋体" w:hAnsi="宋体" w:eastAsia="宋体" w:cs="宋体"/>
          <w:color w:val="auto"/>
          <w:sz w:val="24"/>
          <w:szCs w:val="24"/>
          <w:highlight w:val="none"/>
          <w:lang w:eastAsia="zh-CN"/>
        </w:rPr>
        <w:t xml:space="preserve">。</w:t>
      </w:r>
      <w:r>
        <w:rPr>
          <w:rFonts w:hint="eastAsia"/>
          <w:color w:val="auto"/>
          <w:sz w:val="24"/>
          <w:szCs w:val="24"/>
          <w:highlight w:val="none"/>
          <w:lang w:eastAsia="zh-CN"/>
        </w:rPr>
        <w:t xml:space="preserve">工期总日历天数与根据前述计划开竣工日期计算的工期天数不一致的，以工期总日历天数为准。</w:t>
      </w:r>
      <w:r>
        <w:rPr>
          <w:color w:val="auto"/>
          <w:highlight w:val="none"/>
        </w:rPr>
      </w:r>
    </w:p>
    <w:p>
      <w:pPr>
        <w:pStyle w:val="712"/>
        <w:jc w:val="left"/>
        <w:spacing w:before="120" w:after="120"/>
        <w:rPr>
          <w:bCs w:val="0"/>
          <w:color w:val="auto"/>
          <w:sz w:val="24"/>
          <w:szCs w:val="24"/>
          <w:highlight w:val="none"/>
        </w:rPr>
      </w:pPr>
      <w:r>
        <w:rPr>
          <w:color w:val="auto"/>
          <w:highlight w:val="none"/>
        </w:rPr>
      </w:r>
      <w:bookmarkStart w:id="102" w:name="_Toc351203483"/>
      <w:r>
        <w:rPr>
          <w:rFonts w:hint="eastAsia"/>
          <w:b w:val="0"/>
          <w:color w:val="auto"/>
          <w:sz w:val="24"/>
          <w:szCs w:val="24"/>
          <w:highlight w:val="none"/>
          <w:lang w:eastAsia="zh-CN"/>
        </w:rPr>
        <w:t xml:space="preserve">三、质量标准</w:t>
      </w:r>
      <w:bookmarkEnd w:id="102"/>
      <w:r>
        <w:rPr>
          <w:color w:val="auto"/>
          <w:highlight w:val="none"/>
        </w:rPr>
      </w:r>
      <w:r>
        <w:rPr>
          <w:color w:val="auto"/>
          <w:highlight w:val="none"/>
        </w:rPr>
      </w:r>
    </w:p>
    <w:p>
      <w:pPr>
        <w:ind w:firstLine="459"/>
        <w:spacing w:line="360" w:lineRule="auto"/>
        <w:rPr>
          <w:color w:val="auto"/>
          <w:sz w:val="24"/>
          <w:szCs w:val="24"/>
          <w:highlight w:val="none"/>
        </w:rPr>
      </w:pPr>
      <w:r>
        <w:rPr>
          <w:rFonts w:hint="eastAsia"/>
          <w:color w:val="auto"/>
          <w:sz w:val="24"/>
          <w:szCs w:val="24"/>
          <w:highlight w:val="none"/>
          <w:lang w:eastAsia="zh-CN"/>
        </w:rPr>
        <w:t xml:space="preserve">工程质量符合标准    </w:t>
      </w:r>
      <w:r>
        <w:rPr>
          <w:color w:val="auto"/>
          <w:highlight w:val="none"/>
        </w:rPr>
      </w:r>
    </w:p>
    <w:p>
      <w:pPr>
        <w:pStyle w:val="712"/>
        <w:jc w:val="left"/>
        <w:spacing w:before="120" w:after="120"/>
        <w:rPr>
          <w:bCs w:val="0"/>
          <w:color w:val="auto"/>
          <w:sz w:val="24"/>
          <w:szCs w:val="24"/>
          <w:highlight w:val="none"/>
        </w:rPr>
      </w:pPr>
      <w:r>
        <w:rPr>
          <w:color w:val="auto"/>
          <w:highlight w:val="none"/>
        </w:rPr>
      </w:r>
      <w:bookmarkStart w:id="103" w:name="_Toc351203484"/>
      <w:r>
        <w:rPr>
          <w:rFonts w:hint="eastAsia"/>
          <w:b w:val="0"/>
          <w:color w:val="auto"/>
          <w:sz w:val="24"/>
          <w:szCs w:val="24"/>
          <w:highlight w:val="none"/>
          <w:lang w:eastAsia="zh-CN"/>
        </w:rPr>
        <w:t xml:space="preserve">四、签约合同价与合同价格形式</w:t>
      </w:r>
      <w:bookmarkEnd w:id="103"/>
      <w:r>
        <w:rPr>
          <w:rFonts w:hint="eastAsia"/>
          <w:b w:val="0"/>
          <w:color w:val="auto"/>
          <w:sz w:val="24"/>
          <w:szCs w:val="24"/>
          <w:highlight w:val="none"/>
          <w:lang w:eastAsia="zh-CN"/>
        </w:rPr>
        <w:tab/>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1.签约合同价为：</w:t>
      </w:r>
      <w:r>
        <w:rPr>
          <w:color w:val="auto"/>
          <w:highlight w:val="none"/>
        </w:rPr>
      </w:r>
    </w:p>
    <w:p>
      <w:pPr>
        <w:ind w:firstLine="600"/>
        <w:spacing w:line="360" w:lineRule="auto"/>
        <w:rPr>
          <w:color w:val="auto"/>
          <w:sz w:val="24"/>
          <w:szCs w:val="24"/>
          <w:highlight w:val="none"/>
        </w:rPr>
      </w:pPr>
      <w:r>
        <w:rPr>
          <w:rFonts w:hint="eastAsia"/>
          <w:color w:val="auto"/>
          <w:sz w:val="24"/>
          <w:szCs w:val="24"/>
          <w:highlight w:val="none"/>
          <w:lang w:eastAsia="zh-CN"/>
        </w:rPr>
        <w:t xml:space="preserve">人民币（大写）</w:t>
      </w:r>
      <w:r>
        <w:rPr>
          <w:rFonts w:hint="eastAsia"/>
          <w:color w:val="auto"/>
          <w:sz w:val="24"/>
          <w:szCs w:val="24"/>
          <w:highlight w:val="none"/>
          <w:u w:val="single"/>
          <w:lang w:eastAsia="zh-CN"/>
        </w:rPr>
        <w:t xml:space="preserve">      （¥        元）</w:t>
      </w:r>
      <w:r>
        <w:rPr>
          <w:rFonts w:hint="eastAsia"/>
          <w:color w:val="auto"/>
          <w:sz w:val="24"/>
          <w:szCs w:val="24"/>
          <w:highlight w:val="none"/>
          <w:lang w:eastAsia="zh-CN"/>
        </w:rPr>
        <w:t xml:space="preserve"> </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2.合同价格形式：</w:t>
      </w:r>
      <w:r>
        <w:rPr>
          <w:rFonts w:hint="eastAsia"/>
          <w:b/>
          <w:bCs/>
          <w:color w:val="auto"/>
          <w:sz w:val="24"/>
          <w:szCs w:val="24"/>
          <w:highlight w:val="none"/>
          <w:u w:val="single"/>
          <w:lang w:eastAsia="zh-CN"/>
        </w:rPr>
        <w:t xml:space="preserve">固定单价合同</w:t>
      </w:r>
      <w:r>
        <w:rPr>
          <w:rFonts w:hint="eastAsia"/>
          <w:color w:val="auto"/>
          <w:sz w:val="24"/>
          <w:szCs w:val="24"/>
          <w:highlight w:val="none"/>
          <w:lang w:eastAsia="zh-CN"/>
        </w:rPr>
        <w:t xml:space="preserve">。</w:t>
      </w:r>
      <w:r>
        <w:rPr>
          <w:color w:val="auto"/>
          <w:highlight w:val="none"/>
        </w:rPr>
      </w:r>
    </w:p>
    <w:p>
      <w:pPr>
        <w:pStyle w:val="712"/>
        <w:jc w:val="left"/>
        <w:spacing w:before="120" w:after="120"/>
        <w:rPr>
          <w:b w:val="0"/>
          <w:color w:val="auto"/>
          <w:sz w:val="24"/>
          <w:szCs w:val="24"/>
          <w:highlight w:val="none"/>
        </w:rPr>
      </w:pPr>
      <w:r>
        <w:rPr>
          <w:color w:val="auto"/>
          <w:highlight w:val="none"/>
        </w:rPr>
      </w:r>
      <w:bookmarkStart w:id="104" w:name="_Toc351203485"/>
      <w:r>
        <w:rPr>
          <w:rFonts w:hint="eastAsia"/>
          <w:b w:val="0"/>
          <w:color w:val="auto"/>
          <w:sz w:val="24"/>
          <w:szCs w:val="24"/>
          <w:highlight w:val="none"/>
          <w:lang w:eastAsia="zh-CN"/>
        </w:rPr>
        <w:t xml:space="preserve">五、</w:t>
      </w:r>
      <w:bookmarkEnd w:id="104"/>
      <w:r>
        <w:rPr>
          <w:rFonts w:hint="eastAsia"/>
          <w:b w:val="0"/>
          <w:color w:val="auto"/>
          <w:sz w:val="24"/>
          <w:szCs w:val="24"/>
          <w:highlight w:val="none"/>
          <w:lang w:eastAsia="zh-CN"/>
        </w:rPr>
        <w:t xml:space="preserve">项目经理</w:t>
      </w:r>
      <w:r>
        <w:rPr>
          <w:color w:val="auto"/>
          <w:highlight w:val="none"/>
        </w:rPr>
      </w:r>
    </w:p>
    <w:p>
      <w:pPr>
        <w:ind w:firstLine="480"/>
        <w:spacing w:line="360" w:lineRule="auto"/>
        <w:rPr>
          <w:color w:val="auto"/>
          <w:sz w:val="24"/>
          <w:szCs w:val="24"/>
          <w:highlight w:val="none"/>
          <w:u w:val="single"/>
        </w:rPr>
      </w:pPr>
      <w:r>
        <w:rPr>
          <w:rFonts w:hint="eastAsia"/>
          <w:color w:val="auto"/>
          <w:sz w:val="24"/>
          <w:szCs w:val="24"/>
          <w:highlight w:val="none"/>
          <w:lang w:eastAsia="zh-CN"/>
        </w:rPr>
        <w:t xml:space="preserve">承包人项目经理： </w:t>
      </w:r>
      <w:r>
        <w:rPr>
          <w:rFonts w:hint="eastAsia"/>
          <w:color w:val="auto"/>
          <w:sz w:val="24"/>
          <w:szCs w:val="24"/>
          <w:highlight w:val="none"/>
          <w:u w:val="single"/>
          <w:lang w:eastAsia="zh-CN"/>
        </w:rPr>
        <w:t xml:space="preserve">           </w:t>
      </w:r>
      <w:r>
        <w:rPr>
          <w:color w:val="auto"/>
          <w:highlight w:val="none"/>
        </w:rPr>
      </w:r>
    </w:p>
    <w:p>
      <w:pPr>
        <w:pStyle w:val="712"/>
        <w:jc w:val="left"/>
        <w:spacing w:before="120" w:after="120"/>
        <w:rPr>
          <w:bCs w:val="0"/>
          <w:color w:val="auto"/>
          <w:sz w:val="24"/>
          <w:szCs w:val="24"/>
          <w:highlight w:val="none"/>
        </w:rPr>
      </w:pPr>
      <w:r>
        <w:rPr>
          <w:color w:val="auto"/>
          <w:highlight w:val="none"/>
        </w:rPr>
      </w:r>
      <w:bookmarkStart w:id="105" w:name="_Toc351203486"/>
      <w:r>
        <w:rPr>
          <w:rFonts w:hint="eastAsia"/>
          <w:b w:val="0"/>
          <w:color w:val="auto"/>
          <w:sz w:val="24"/>
          <w:szCs w:val="24"/>
          <w:highlight w:val="none"/>
          <w:lang w:eastAsia="zh-CN"/>
        </w:rPr>
        <w:t xml:space="preserve">六、合同文件构成</w:t>
      </w:r>
      <w:bookmarkEnd w:id="105"/>
      <w:r>
        <w:rPr>
          <w:color w:val="auto"/>
          <w:highlight w:val="none"/>
        </w:rPr>
      </w:r>
      <w:r>
        <w:rPr>
          <w:color w:val="auto"/>
          <w:highlight w:val="none"/>
        </w:rP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本协议书与下列文件一起构成合同文件：</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（1）中标通知书（如果有）；</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（2）投标函及其附录（如果有）； </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（3）专用合同条款及其附件；</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（4）通用合同条款；</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（5）技术标准和要求；</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（6）图纸；</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（7）已标价工程量清单或预算书；</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（8）其他合同文件。</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在合同订立及履行过程中形成的与合同有关的文件均构成合同文件组成部分。</w:t>
      </w:r>
      <w:r>
        <w:rPr>
          <w:color w:val="auto"/>
          <w:highlight w:val="none"/>
        </w:rPr>
      </w:r>
    </w:p>
    <w:p>
      <w:pPr>
        <w:ind w:firstLine="480"/>
        <w:spacing w:line="360" w:lineRule="auto"/>
        <w:rPr>
          <w:color w:val="auto"/>
          <w:sz w:val="24"/>
          <w:szCs w:val="24"/>
          <w:highlight w:val="none"/>
        </w:rPr>
      </w:pPr>
      <w:r>
        <w:rPr>
          <w:rFonts w:hint="eastAsia"/>
          <w:color w:val="auto"/>
          <w:sz w:val="24"/>
          <w:szCs w:val="24"/>
          <w:highlight w:val="none"/>
          <w:lang w:eastAsia="zh-CN"/>
        </w:rPr>
        <w:t xml:space="preserve">上述各项合同文件包括合同当事人就该项合同文件所作出的补充和修改，属于同一类内容的文件，应以最新签署的为准。专用合同条款及其附件须经合同当事人签字或盖章。</w:t>
      </w:r>
      <w:r>
        <w:rPr>
          <w:color w:val="auto"/>
          <w:highlight w:val="none"/>
        </w:rPr>
      </w:r>
    </w:p>
    <w:p>
      <w:pPr>
        <w:pStyle w:val="712"/>
        <w:jc w:val="left"/>
        <w:spacing w:before="120" w:after="120"/>
        <w:rPr>
          <w:b w:val="0"/>
          <w:bCs w:val="0"/>
          <w:color w:val="auto"/>
          <w:sz w:val="24"/>
          <w:szCs w:val="24"/>
          <w:highlight w:val="none"/>
        </w:rPr>
      </w:pPr>
      <w:r>
        <w:rPr>
          <w:color w:val="auto"/>
          <w:highlight w:val="none"/>
        </w:rPr>
      </w:r>
      <w:bookmarkStart w:id="106" w:name="_Toc351203487"/>
      <w:r>
        <w:rPr>
          <w:rFonts w:hint="eastAsia"/>
          <w:b w:val="0"/>
          <w:color w:val="auto"/>
          <w:sz w:val="24"/>
          <w:szCs w:val="24"/>
          <w:highlight w:val="none"/>
          <w:lang w:eastAsia="zh-CN"/>
        </w:rPr>
        <w:t xml:space="preserve">七、承诺</w:t>
      </w:r>
      <w:bookmarkEnd w:id="106"/>
      <w:r>
        <w:rPr>
          <w:color w:val="auto"/>
          <w:highlight w:val="none"/>
        </w:rPr>
      </w:r>
      <w:r>
        <w:rPr>
          <w:color w:val="auto"/>
          <w:highlight w:val="none"/>
        </w:rP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1.发包人承诺按照法律规定履行项目审批手续、筹集工程建设资金并按照合同约定的期限和方式支付合同价款。</w:t>
      </w:r>
      <w:r>
        <w:rPr>
          <w:color w:val="auto"/>
          <w:highlight w:val="none"/>
        </w:rP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2.承包人承诺按照法律规定及合同约定组织完成工程施工，确保工程质量和安全，不进行转包及违法分包，并在缺陷责任期及保修期内承担相应的工程维修责任。</w:t>
      </w:r>
      <w:r>
        <w:rPr>
          <w:color w:val="auto"/>
          <w:highlight w:val="none"/>
        </w:rP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3.发包人和承包人通过招投标形式签订合同的，双方理解并承诺不再就同一工程另行签订与合同实质性内容相背离的协议。</w:t>
      </w:r>
      <w:r>
        <w:rPr>
          <w:color w:val="auto"/>
          <w:highlight w:val="none"/>
        </w:rPr>
      </w:r>
    </w:p>
    <w:p>
      <w:pPr>
        <w:pStyle w:val="712"/>
        <w:jc w:val="left"/>
        <w:spacing w:before="120" w:after="120"/>
        <w:rPr>
          <w:b w:val="0"/>
          <w:color w:val="auto"/>
          <w:sz w:val="24"/>
          <w:szCs w:val="24"/>
          <w:highlight w:val="none"/>
        </w:rPr>
      </w:pPr>
      <w:r>
        <w:rPr>
          <w:color w:val="auto"/>
          <w:highlight w:val="none"/>
        </w:rPr>
      </w:r>
      <w:bookmarkStart w:id="107" w:name="_Toc351203488"/>
      <w:r>
        <w:rPr>
          <w:rFonts w:hint="eastAsia"/>
          <w:b w:val="0"/>
          <w:color w:val="auto"/>
          <w:sz w:val="24"/>
          <w:szCs w:val="24"/>
          <w:highlight w:val="none"/>
          <w:lang w:eastAsia="zh-CN"/>
        </w:rPr>
        <w:t xml:space="preserve">八、词语含义</w:t>
      </w:r>
      <w:bookmarkEnd w:id="107"/>
      <w:r>
        <w:rPr>
          <w:color w:val="auto"/>
          <w:highlight w:val="none"/>
        </w:rPr>
      </w:r>
      <w:r>
        <w:rPr>
          <w:color w:val="auto"/>
          <w:highlight w:val="none"/>
        </w:rP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本协议书中词语含义与第二部分通用合同条款中赋予的含义相同。</w:t>
      </w:r>
      <w:r>
        <w:rPr>
          <w:color w:val="auto"/>
          <w:highlight w:val="none"/>
        </w:rPr>
      </w:r>
    </w:p>
    <w:p>
      <w:pPr>
        <w:pStyle w:val="712"/>
        <w:jc w:val="left"/>
        <w:spacing w:before="120" w:after="120"/>
        <w:rPr>
          <w:bCs w:val="0"/>
          <w:color w:val="auto"/>
          <w:sz w:val="24"/>
          <w:szCs w:val="24"/>
          <w:highlight w:val="none"/>
        </w:rPr>
      </w:pPr>
      <w:r>
        <w:rPr>
          <w:color w:val="auto"/>
          <w:highlight w:val="none"/>
        </w:rPr>
      </w:r>
      <w:bookmarkStart w:id="108" w:name="_Toc351203489"/>
      <w:r>
        <w:rPr>
          <w:rFonts w:hint="eastAsia"/>
          <w:b w:val="0"/>
          <w:color w:val="auto"/>
          <w:sz w:val="24"/>
          <w:szCs w:val="24"/>
          <w:highlight w:val="none"/>
          <w:lang w:eastAsia="zh-CN"/>
        </w:rPr>
        <w:t xml:space="preserve">九、签订时间</w:t>
      </w:r>
      <w:bookmarkEnd w:id="108"/>
      <w:r>
        <w:rPr>
          <w:color w:val="auto"/>
          <w:highlight w:val="none"/>
        </w:rPr>
      </w:r>
      <w:r>
        <w:rPr>
          <w:color w:val="auto"/>
          <w:highlight w:val="none"/>
        </w:rP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本合同于</w:t>
      </w:r>
      <w:r>
        <w:rPr>
          <w:rFonts w:hint="eastAsia"/>
          <w:bCs/>
          <w:color w:val="auto"/>
          <w:sz w:val="24"/>
          <w:szCs w:val="24"/>
          <w:highlight w:val="none"/>
          <w:u w:val="single"/>
          <w:lang w:eastAsia="zh-CN"/>
        </w:rPr>
        <w:t xml:space="preserve">  </w:t>
      </w:r>
      <w:r>
        <w:rPr>
          <w:rFonts w:hint="eastAsia"/>
          <w:bCs/>
          <w:color w:val="auto"/>
          <w:sz w:val="24"/>
          <w:szCs w:val="24"/>
          <w:highlight w:val="none"/>
          <w:u w:val="single"/>
          <w:lang w:val="en-US" w:eastAsia="zh-CN"/>
        </w:rPr>
        <w:t xml:space="preserve">  </w:t>
      </w:r>
      <w:r>
        <w:rPr>
          <w:rFonts w:hint="eastAsia"/>
          <w:bCs/>
          <w:color w:val="auto"/>
          <w:sz w:val="24"/>
          <w:szCs w:val="24"/>
          <w:highlight w:val="none"/>
          <w:u w:val="single"/>
          <w:lang w:eastAsia="zh-CN"/>
        </w:rPr>
        <w:t xml:space="preserve">年   月    日</w:t>
      </w:r>
      <w:r>
        <w:rPr>
          <w:rFonts w:hint="eastAsia"/>
          <w:bCs/>
          <w:color w:val="auto"/>
          <w:sz w:val="24"/>
          <w:szCs w:val="24"/>
          <w:highlight w:val="none"/>
          <w:lang w:eastAsia="zh-CN"/>
        </w:rPr>
        <w:t xml:space="preserve">签订。</w:t>
      </w:r>
      <w:r>
        <w:rPr>
          <w:color w:val="auto"/>
          <w:highlight w:val="none"/>
        </w:rPr>
      </w:r>
    </w:p>
    <w:p>
      <w:pPr>
        <w:pStyle w:val="712"/>
        <w:jc w:val="left"/>
        <w:spacing w:before="120" w:after="120"/>
        <w:rPr>
          <w:bCs w:val="0"/>
          <w:color w:val="auto"/>
          <w:sz w:val="24"/>
          <w:szCs w:val="24"/>
          <w:highlight w:val="none"/>
        </w:rPr>
      </w:pPr>
      <w:r>
        <w:rPr>
          <w:color w:val="auto"/>
          <w:highlight w:val="none"/>
        </w:rPr>
      </w:r>
      <w:bookmarkStart w:id="109" w:name="_Toc351203490"/>
      <w:r>
        <w:rPr>
          <w:rFonts w:hint="eastAsia"/>
          <w:b w:val="0"/>
          <w:color w:val="auto"/>
          <w:sz w:val="24"/>
          <w:szCs w:val="24"/>
          <w:highlight w:val="none"/>
          <w:lang w:eastAsia="zh-CN"/>
        </w:rPr>
        <w:t xml:space="preserve">十、签订地点</w:t>
      </w:r>
      <w:bookmarkEnd w:id="109"/>
      <w:r>
        <w:rPr>
          <w:color w:val="auto"/>
          <w:highlight w:val="none"/>
        </w:rPr>
      </w:r>
      <w:r>
        <w:rPr>
          <w:color w:val="auto"/>
          <w:highlight w:val="none"/>
        </w:rP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本合同在</w:t>
      </w:r>
      <w:r>
        <w:rPr>
          <w:rFonts w:hint="eastAsia"/>
          <w:bCs/>
          <w:color w:val="auto"/>
          <w:sz w:val="24"/>
          <w:szCs w:val="24"/>
          <w:highlight w:val="none"/>
          <w:u w:val="single"/>
          <w:lang w:eastAsia="zh-CN"/>
        </w:rPr>
        <w:t xml:space="preserve">                </w:t>
      </w:r>
      <w:r>
        <w:rPr>
          <w:rFonts w:hint="eastAsia"/>
          <w:bCs/>
          <w:color w:val="auto"/>
          <w:sz w:val="24"/>
          <w:szCs w:val="24"/>
          <w:highlight w:val="none"/>
          <w:lang w:eastAsia="zh-CN"/>
        </w:rPr>
        <w:t xml:space="preserve">签订。</w:t>
      </w:r>
      <w:r>
        <w:rPr>
          <w:color w:val="auto"/>
          <w:highlight w:val="none"/>
        </w:rPr>
      </w:r>
    </w:p>
    <w:p>
      <w:pPr>
        <w:pStyle w:val="712"/>
        <w:jc w:val="left"/>
        <w:spacing w:before="120" w:after="120"/>
        <w:rPr>
          <w:bCs w:val="0"/>
          <w:color w:val="auto"/>
          <w:sz w:val="24"/>
          <w:szCs w:val="24"/>
          <w:highlight w:val="none"/>
        </w:rPr>
      </w:pPr>
      <w:r>
        <w:rPr>
          <w:color w:val="auto"/>
          <w:highlight w:val="none"/>
        </w:rPr>
      </w:r>
      <w:bookmarkStart w:id="110" w:name="_Toc351203491"/>
      <w:r>
        <w:rPr>
          <w:rFonts w:hint="eastAsia"/>
          <w:b w:val="0"/>
          <w:color w:val="auto"/>
          <w:sz w:val="24"/>
          <w:szCs w:val="24"/>
          <w:highlight w:val="none"/>
          <w:lang w:eastAsia="zh-CN"/>
        </w:rPr>
        <w:t xml:space="preserve">十一、补充协议</w:t>
      </w:r>
      <w:bookmarkEnd w:id="110"/>
      <w:r>
        <w:rPr>
          <w:color w:val="auto"/>
          <w:highlight w:val="none"/>
        </w:rPr>
      </w:r>
      <w:r>
        <w:rPr>
          <w:color w:val="auto"/>
          <w:highlight w:val="none"/>
        </w:rPr>
      </w:r>
    </w:p>
    <w:p>
      <w:pPr>
        <w:ind w:firstLine="480"/>
        <w:spacing w:line="360" w:lineRule="auto"/>
        <w:rPr>
          <w:b/>
          <w:bCs/>
          <w:color w:val="auto"/>
          <w:sz w:val="24"/>
          <w:szCs w:val="24"/>
          <w:highlight w:val="none"/>
        </w:rPr>
      </w:pPr>
      <w:r>
        <w:rPr>
          <w:rFonts w:hint="eastAsia"/>
          <w:bCs/>
          <w:color w:val="auto"/>
          <w:sz w:val="24"/>
          <w:szCs w:val="24"/>
          <w:highlight w:val="none"/>
          <w:lang w:eastAsia="zh-CN"/>
        </w:rPr>
        <w:t xml:space="preserve">合同未尽事宜，合同当事人另行签订补充协议，补充协议是合同的组成部分。</w:t>
      </w:r>
      <w:r>
        <w:rPr>
          <w:color w:val="auto"/>
          <w:highlight w:val="none"/>
        </w:rPr>
      </w:r>
    </w:p>
    <w:p>
      <w:pPr>
        <w:pStyle w:val="712"/>
        <w:jc w:val="left"/>
        <w:spacing w:before="120" w:after="120"/>
        <w:rPr>
          <w:bCs w:val="0"/>
          <w:color w:val="auto"/>
          <w:sz w:val="24"/>
          <w:szCs w:val="24"/>
          <w:highlight w:val="none"/>
        </w:rPr>
      </w:pPr>
      <w:r>
        <w:rPr>
          <w:color w:val="auto"/>
          <w:highlight w:val="none"/>
        </w:rPr>
      </w:r>
      <w:bookmarkStart w:id="111" w:name="_Toc351203492"/>
      <w:r>
        <w:rPr>
          <w:rFonts w:hint="eastAsia"/>
          <w:b w:val="0"/>
          <w:color w:val="auto"/>
          <w:sz w:val="24"/>
          <w:szCs w:val="24"/>
          <w:highlight w:val="none"/>
          <w:lang w:eastAsia="zh-CN"/>
        </w:rPr>
        <w:t xml:space="preserve">十二、合同生效</w:t>
      </w:r>
      <w:bookmarkEnd w:id="111"/>
      <w:r>
        <w:rPr>
          <w:color w:val="auto"/>
          <w:highlight w:val="none"/>
        </w:rPr>
      </w:r>
      <w:r>
        <w:rPr>
          <w:color w:val="auto"/>
          <w:highlight w:val="none"/>
        </w:rP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本合同自生效。</w:t>
      </w:r>
      <w:r>
        <w:rPr>
          <w:color w:val="auto"/>
          <w:highlight w:val="none"/>
        </w:rPr>
      </w:r>
    </w:p>
    <w:p>
      <w:pPr>
        <w:pStyle w:val="712"/>
        <w:jc w:val="left"/>
        <w:spacing w:before="120" w:after="120"/>
        <w:rPr>
          <w:bCs w:val="0"/>
          <w:color w:val="auto"/>
          <w:sz w:val="24"/>
          <w:szCs w:val="24"/>
          <w:highlight w:val="none"/>
        </w:rPr>
      </w:pPr>
      <w:r>
        <w:rPr>
          <w:color w:val="auto"/>
          <w:highlight w:val="none"/>
        </w:rPr>
      </w:r>
      <w:bookmarkStart w:id="112" w:name="_Toc351203493"/>
      <w:r>
        <w:rPr>
          <w:rFonts w:hint="eastAsia"/>
          <w:b w:val="0"/>
          <w:color w:val="auto"/>
          <w:sz w:val="24"/>
          <w:szCs w:val="24"/>
          <w:highlight w:val="none"/>
          <w:lang w:eastAsia="zh-CN"/>
        </w:rPr>
        <w:t xml:space="preserve">十三、合同份数</w:t>
      </w:r>
      <w:bookmarkEnd w:id="112"/>
      <w:r>
        <w:rPr>
          <w:color w:val="auto"/>
          <w:highlight w:val="none"/>
        </w:rPr>
      </w:r>
      <w:r>
        <w:rPr>
          <w:color w:val="auto"/>
          <w:highlight w:val="none"/>
        </w:rP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本合同一式</w:t>
      </w:r>
      <w:r>
        <w:rPr>
          <w:rFonts w:hint="eastAsia"/>
          <w:b/>
          <w:bCs/>
          <w:color w:val="auto"/>
          <w:sz w:val="24"/>
          <w:szCs w:val="24"/>
          <w:highlight w:val="none"/>
          <w:u w:val="single"/>
          <w:lang w:eastAsia="zh-CN"/>
        </w:rPr>
        <w:t xml:space="preserve">捌</w:t>
      </w:r>
      <w:r>
        <w:rPr>
          <w:rFonts w:hint="eastAsia"/>
          <w:bCs/>
          <w:color w:val="auto"/>
          <w:sz w:val="24"/>
          <w:szCs w:val="24"/>
          <w:highlight w:val="none"/>
          <w:lang w:eastAsia="zh-CN"/>
        </w:rPr>
        <w:t xml:space="preserve">份，均具有同等法律效力，发包人执</w:t>
      </w:r>
      <w:r>
        <w:rPr>
          <w:rFonts w:hint="eastAsia"/>
          <w:b/>
          <w:bCs/>
          <w:color w:val="auto"/>
          <w:sz w:val="24"/>
          <w:szCs w:val="24"/>
          <w:highlight w:val="none"/>
          <w:u w:val="single"/>
          <w:lang w:eastAsia="zh-CN"/>
        </w:rPr>
        <w:t xml:space="preserve"> 陆</w:t>
      </w:r>
      <w:r>
        <w:rPr>
          <w:rFonts w:hint="eastAsia"/>
          <w:bCs/>
          <w:color w:val="auto"/>
          <w:sz w:val="24"/>
          <w:szCs w:val="24"/>
          <w:highlight w:val="none"/>
          <w:lang w:eastAsia="zh-CN"/>
        </w:rPr>
        <w:t xml:space="preserve">份，承包人执</w:t>
      </w:r>
      <w:r>
        <w:rPr>
          <w:rFonts w:hint="eastAsia"/>
          <w:b/>
          <w:bCs/>
          <w:color w:val="auto"/>
          <w:sz w:val="24"/>
          <w:szCs w:val="24"/>
          <w:highlight w:val="none"/>
          <w:u w:val="single"/>
          <w:lang w:eastAsia="zh-CN"/>
        </w:rPr>
        <w:t xml:space="preserve"> 贰</w:t>
      </w:r>
      <w:r>
        <w:rPr>
          <w:rFonts w:hint="eastAsia"/>
          <w:bCs/>
          <w:color w:val="auto"/>
          <w:sz w:val="24"/>
          <w:szCs w:val="24"/>
          <w:highlight w:val="none"/>
          <w:lang w:eastAsia="zh-CN"/>
        </w:rPr>
        <w:t xml:space="preserve">份。</w:t>
      </w:r>
      <w:r>
        <w:rPr>
          <w:color w:val="auto"/>
          <w:highlight w:val="none"/>
        </w:rPr>
      </w:r>
    </w:p>
    <w:p>
      <w:pPr>
        <w:spacing w:line="360" w:lineRule="auto"/>
        <w:rPr>
          <w:bCs/>
          <w:color w:val="auto"/>
          <w:sz w:val="24"/>
          <w:szCs w:val="24"/>
          <w:highlight w:val="none"/>
        </w:rPr>
      </w:pPr>
      <w:r>
        <w:rPr>
          <w:bCs/>
          <w:color w:val="auto"/>
          <w:sz w:val="24"/>
          <w:szCs w:val="24"/>
          <w:highlight w:val="none"/>
          <w:lang w:eastAsia="zh-CN"/>
        </w:rPr>
      </w:r>
      <w:r>
        <w:rPr>
          <w:color w:val="auto"/>
          <w:highlight w:val="none"/>
        </w:rPr>
      </w:r>
    </w:p>
    <w:p>
      <w:pPr>
        <w:spacing w:line="360" w:lineRule="auto"/>
        <w:rPr>
          <w:bCs/>
          <w:color w:val="auto"/>
          <w:sz w:val="24"/>
          <w:szCs w:val="24"/>
          <w:highlight w:val="none"/>
        </w:rPr>
      </w:pPr>
      <w:r>
        <w:rPr>
          <w:bCs/>
          <w:color w:val="auto"/>
          <w:sz w:val="24"/>
          <w:szCs w:val="24"/>
          <w:highlight w:val="none"/>
          <w:lang w:eastAsia="zh-CN"/>
        </w:rPr>
      </w:r>
      <w:r>
        <w:rPr>
          <w:color w:val="auto"/>
          <w:highlight w:val="none"/>
        </w:rPr>
      </w:r>
    </w:p>
    <w:p>
      <w:pPr>
        <w:spacing w:line="360" w:lineRule="auto"/>
        <w:rPr>
          <w:bCs/>
          <w:color w:val="auto"/>
          <w:sz w:val="24"/>
          <w:szCs w:val="24"/>
          <w:highlight w:val="none"/>
        </w:rPr>
      </w:pPr>
      <w:r>
        <w:rPr>
          <w:bCs/>
          <w:color w:val="auto"/>
          <w:sz w:val="24"/>
          <w:szCs w:val="24"/>
          <w:highlight w:val="none"/>
          <w:lang w:eastAsia="zh-CN"/>
        </w:rPr>
      </w:r>
      <w:r>
        <w:rPr>
          <w:color w:val="auto"/>
          <w:highlight w:val="none"/>
        </w:rPr>
      </w:r>
    </w:p>
    <w:p>
      <w:pPr>
        <w:spacing w:line="360" w:lineRule="auto"/>
        <w:rPr>
          <w:color w:val="auto"/>
          <w:sz w:val="24"/>
          <w:szCs w:val="24"/>
          <w:highlight w:val="none"/>
        </w:rPr>
      </w:pPr>
      <w:r>
        <w:rPr>
          <w:color w:val="auto"/>
          <w:sz w:val="24"/>
          <w:szCs w:val="24"/>
          <w:highlight w:val="none"/>
          <w:lang w:eastAsia="zh-CN"/>
        </w:rPr>
      </w:r>
      <w:r>
        <w:rPr>
          <w:color w:val="auto"/>
          <w:highlight w:val="none"/>
        </w:rPr>
      </w:r>
    </w:p>
    <w:p>
      <w:pPr>
        <w:spacing w:line="360" w:lineRule="auto"/>
        <w:rPr>
          <w:color w:val="auto"/>
          <w:sz w:val="24"/>
          <w:szCs w:val="24"/>
          <w:highlight w:val="none"/>
        </w:rPr>
      </w:pPr>
      <w:r>
        <w:rPr>
          <w:rFonts w:hint="eastAsia"/>
          <w:color w:val="auto"/>
          <w:sz w:val="24"/>
          <w:szCs w:val="24"/>
          <w:highlight w:val="none"/>
          <w:lang w:eastAsia="zh-CN"/>
        </w:rPr>
        <w:t xml:space="preserve">发包人：  （公章）                     承包人：  （公章）</w:t>
      </w:r>
      <w:r>
        <w:rPr>
          <w:color w:val="auto"/>
          <w:highlight w:val="none"/>
        </w:rPr>
      </w:r>
    </w:p>
    <w:p>
      <w:pPr>
        <w:spacing w:line="360" w:lineRule="auto"/>
        <w:rPr>
          <w:color w:val="auto"/>
          <w:sz w:val="24"/>
          <w:szCs w:val="24"/>
          <w:highlight w:val="none"/>
          <w:u w:val="single"/>
        </w:rPr>
      </w:pPr>
      <w:r>
        <w:rPr>
          <w:color w:val="auto"/>
          <w:sz w:val="24"/>
          <w:szCs w:val="24"/>
          <w:highlight w:val="none"/>
          <w:u w:val="single"/>
          <w:lang w:eastAsia="zh-CN"/>
        </w:rPr>
      </w:r>
      <w:r>
        <w:rPr>
          <w:color w:val="auto"/>
          <w:highlight w:val="none"/>
        </w:rPr>
      </w:r>
    </w:p>
    <w:p>
      <w:pPr>
        <w:spacing w:line="360" w:lineRule="auto"/>
        <w:rPr>
          <w:color w:val="auto"/>
          <w:sz w:val="24"/>
          <w:szCs w:val="24"/>
          <w:highlight w:val="none"/>
        </w:rPr>
      </w:pPr>
      <w:r>
        <w:rPr>
          <w:rFonts w:hint="eastAsia"/>
          <w:color w:val="auto"/>
          <w:sz w:val="24"/>
          <w:szCs w:val="24"/>
          <w:highlight w:val="none"/>
          <w:lang w:eastAsia="zh-CN"/>
        </w:rPr>
        <w:t xml:space="preserve">法定代表人或其委托代理人：           法定代表人或其委托代理人：</w:t>
      </w:r>
      <w:r>
        <w:rPr>
          <w:color w:val="auto"/>
          <w:highlight w:val="none"/>
        </w:rPr>
      </w:r>
    </w:p>
    <w:p>
      <w:pPr>
        <w:spacing w:line="360" w:lineRule="auto"/>
        <w:rPr>
          <w:color w:val="auto"/>
          <w:sz w:val="24"/>
          <w:szCs w:val="24"/>
          <w:highlight w:val="none"/>
        </w:rPr>
      </w:pPr>
      <w:r>
        <w:rPr>
          <w:rFonts w:hint="eastAsia"/>
          <w:color w:val="auto"/>
          <w:sz w:val="24"/>
          <w:szCs w:val="24"/>
          <w:highlight w:val="none"/>
          <w:lang w:eastAsia="zh-CN"/>
        </w:rPr>
        <w:t xml:space="preserve">（签字）                              （签字）</w:t>
      </w:r>
      <w:r>
        <w:rPr>
          <w:color w:val="auto"/>
          <w:highlight w:val="none"/>
        </w:rPr>
      </w:r>
    </w:p>
    <w:p>
      <w:pPr>
        <w:spacing w:line="360" w:lineRule="auto"/>
        <w:rPr>
          <w:color w:val="auto"/>
          <w:sz w:val="24"/>
          <w:szCs w:val="24"/>
          <w:highlight w:val="none"/>
          <w:u w:val="single"/>
        </w:rPr>
      </w:pPr>
      <w:r>
        <w:rPr>
          <w:color w:val="auto"/>
          <w:sz w:val="24"/>
          <w:szCs w:val="24"/>
          <w:highlight w:val="none"/>
          <w:u w:val="single"/>
          <w:lang w:eastAsia="zh-CN"/>
        </w:rPr>
      </w:r>
      <w:r>
        <w:rPr>
          <w:color w:val="auto"/>
          <w:highlight w:val="none"/>
        </w:rPr>
      </w:r>
    </w:p>
    <w:p>
      <w:pPr>
        <w:spacing w:line="360" w:lineRule="auto"/>
        <w:tabs>
          <w:tab w:val="left" w:pos="4410" w:leader="none"/>
        </w:tabs>
        <w:rPr>
          <w:color w:val="auto"/>
          <w:sz w:val="24"/>
          <w:szCs w:val="24"/>
          <w:highlight w:val="none"/>
        </w:rPr>
      </w:pPr>
      <w:r>
        <w:rPr>
          <w:rFonts w:hint="eastAsia"/>
          <w:color w:val="auto"/>
          <w:sz w:val="24"/>
          <w:szCs w:val="24"/>
          <w:highlight w:val="none"/>
          <w:lang w:eastAsia="zh-CN"/>
        </w:rPr>
        <w:t xml:space="preserve">组织机构代码：                       组织机构代码：</w:t>
      </w:r>
      <w:r>
        <w:rPr>
          <w:color w:val="auto"/>
          <w:highlight w:val="none"/>
        </w:rPr>
      </w:r>
    </w:p>
    <w:p>
      <w:pPr>
        <w:spacing w:line="360" w:lineRule="auto"/>
        <w:rPr>
          <w:color w:val="auto"/>
          <w:sz w:val="24"/>
          <w:szCs w:val="24"/>
          <w:highlight w:val="none"/>
        </w:rPr>
      </w:pPr>
      <w:r>
        <w:rPr>
          <w:rFonts w:hint="eastAsia"/>
          <w:color w:val="auto"/>
          <w:sz w:val="24"/>
          <w:szCs w:val="24"/>
          <w:highlight w:val="none"/>
          <w:lang w:eastAsia="zh-CN"/>
        </w:rPr>
        <w:t xml:space="preserve">地  址：                             地  址：</w:t>
      </w:r>
      <w:r>
        <w:rPr>
          <w:color w:val="auto"/>
          <w:highlight w:val="none"/>
        </w:rPr>
      </w:r>
    </w:p>
    <w:p>
      <w:pPr>
        <w:spacing w:line="360" w:lineRule="auto"/>
        <w:rPr>
          <w:color w:val="auto"/>
          <w:sz w:val="24"/>
          <w:szCs w:val="24"/>
          <w:highlight w:val="none"/>
        </w:rPr>
      </w:pPr>
      <w:r>
        <w:rPr>
          <w:rFonts w:hint="eastAsia"/>
          <w:color w:val="auto"/>
          <w:sz w:val="24"/>
          <w:szCs w:val="24"/>
          <w:highlight w:val="none"/>
          <w:lang w:eastAsia="zh-CN"/>
        </w:rPr>
        <w:t xml:space="preserve">邮政编码：                           邮政编码：</w:t>
      </w:r>
      <w:r>
        <w:rPr>
          <w:color w:val="auto"/>
          <w:highlight w:val="none"/>
        </w:rPr>
      </w:r>
    </w:p>
    <w:p>
      <w:pPr>
        <w:spacing w:line="360" w:lineRule="auto"/>
        <w:rPr>
          <w:color w:val="auto"/>
          <w:sz w:val="24"/>
          <w:szCs w:val="24"/>
          <w:highlight w:val="none"/>
          <w:u w:val="single"/>
        </w:rPr>
      </w:pPr>
      <w:r>
        <w:rPr>
          <w:rFonts w:hint="eastAsia"/>
          <w:color w:val="auto"/>
          <w:sz w:val="24"/>
          <w:szCs w:val="24"/>
          <w:highlight w:val="none"/>
        </w:rPr>
        <w:t xml:space="preserve">法定代表人：           </w:t>
      </w:r>
      <w:r>
        <w:rPr>
          <w:rFonts w:hint="eastAsia"/>
          <w:color w:val="auto"/>
          <w:sz w:val="24"/>
          <w:szCs w:val="24"/>
          <w:highlight w:val="none"/>
          <w:lang w:eastAsia="zh-CN"/>
        </w:rPr>
        <w:t xml:space="preserve">              </w:t>
      </w:r>
      <w:r>
        <w:rPr>
          <w:rFonts w:hint="eastAsia"/>
          <w:color w:val="auto"/>
          <w:sz w:val="24"/>
          <w:szCs w:val="24"/>
          <w:highlight w:val="none"/>
        </w:rPr>
        <w:t xml:space="preserve">法定代表人：</w:t>
      </w:r>
      <w:r>
        <w:rPr>
          <w:color w:val="auto"/>
          <w:highlight w:val="none"/>
        </w:rPr>
      </w:r>
    </w:p>
    <w:p>
      <w:pPr>
        <w:spacing w:line="360" w:lineRule="auto"/>
        <w:rPr>
          <w:color w:val="auto"/>
          <w:sz w:val="24"/>
          <w:szCs w:val="24"/>
          <w:highlight w:val="none"/>
        </w:rPr>
      </w:pPr>
      <w:r>
        <w:rPr>
          <w:rFonts w:hint="eastAsia"/>
          <w:color w:val="auto"/>
          <w:sz w:val="24"/>
          <w:szCs w:val="24"/>
          <w:highlight w:val="none"/>
        </w:rPr>
        <w:t xml:space="preserve">委托代理人：           </w:t>
      </w:r>
      <w:r>
        <w:rPr>
          <w:rFonts w:hint="eastAsia"/>
          <w:color w:val="auto"/>
          <w:sz w:val="24"/>
          <w:szCs w:val="24"/>
          <w:highlight w:val="none"/>
          <w:lang w:eastAsia="zh-CN"/>
        </w:rPr>
        <w:t xml:space="preserve">              </w:t>
      </w:r>
      <w:r>
        <w:rPr>
          <w:rFonts w:hint="eastAsia"/>
          <w:color w:val="auto"/>
          <w:sz w:val="24"/>
          <w:szCs w:val="24"/>
          <w:highlight w:val="none"/>
        </w:rPr>
        <w:t xml:space="preserve">委托代理人：</w:t>
      </w:r>
      <w:r>
        <w:rPr>
          <w:color w:val="auto"/>
          <w:highlight w:val="none"/>
        </w:rPr>
      </w:r>
    </w:p>
    <w:p>
      <w:pPr>
        <w:spacing w:line="360" w:lineRule="auto"/>
        <w:rPr>
          <w:color w:val="auto"/>
          <w:sz w:val="24"/>
          <w:szCs w:val="24"/>
          <w:highlight w:val="none"/>
        </w:rPr>
      </w:pPr>
      <w:r>
        <w:rPr>
          <w:rFonts w:hint="eastAsia"/>
          <w:color w:val="auto"/>
          <w:sz w:val="24"/>
          <w:szCs w:val="24"/>
          <w:highlight w:val="none"/>
          <w:lang w:eastAsia="zh-CN"/>
        </w:rPr>
        <w:t xml:space="preserve">电  话：                             电  话：</w:t>
      </w:r>
      <w:r>
        <w:rPr>
          <w:color w:val="auto"/>
          <w:highlight w:val="none"/>
        </w:rPr>
      </w:r>
    </w:p>
    <w:p>
      <w:pPr>
        <w:spacing w:line="360" w:lineRule="auto"/>
        <w:rPr>
          <w:color w:val="auto"/>
          <w:sz w:val="24"/>
          <w:szCs w:val="24"/>
          <w:highlight w:val="none"/>
        </w:rPr>
      </w:pPr>
      <w:r>
        <w:rPr>
          <w:rFonts w:hint="eastAsia"/>
          <w:color w:val="auto"/>
          <w:sz w:val="24"/>
          <w:szCs w:val="24"/>
          <w:highlight w:val="none"/>
          <w:lang w:eastAsia="zh-CN"/>
        </w:rPr>
        <w:t xml:space="preserve">传  真：                             传  真：</w:t>
      </w:r>
      <w:r>
        <w:rPr>
          <w:color w:val="auto"/>
          <w:highlight w:val="none"/>
        </w:rPr>
      </w:r>
    </w:p>
    <w:p>
      <w:pPr>
        <w:spacing w:line="360" w:lineRule="auto"/>
        <w:rPr>
          <w:color w:val="auto"/>
          <w:sz w:val="24"/>
          <w:szCs w:val="24"/>
          <w:highlight w:val="none"/>
        </w:rPr>
      </w:pPr>
      <w:r>
        <w:rPr>
          <w:rFonts w:hint="eastAsia"/>
          <w:color w:val="auto"/>
          <w:sz w:val="24"/>
          <w:szCs w:val="24"/>
          <w:highlight w:val="none"/>
          <w:lang w:eastAsia="zh-CN"/>
        </w:rPr>
        <w:t xml:space="preserve">电子信箱：                           电子信箱：</w:t>
      </w:r>
      <w:r>
        <w:rPr>
          <w:color w:val="auto"/>
          <w:highlight w:val="none"/>
        </w:rPr>
      </w:r>
    </w:p>
    <w:p>
      <w:pPr>
        <w:spacing w:line="360" w:lineRule="auto"/>
        <w:rPr>
          <w:color w:val="auto"/>
          <w:sz w:val="24"/>
          <w:szCs w:val="24"/>
          <w:highlight w:val="none"/>
        </w:rPr>
      </w:pPr>
      <w:r>
        <w:rPr>
          <w:rFonts w:hint="eastAsia"/>
          <w:color w:val="auto"/>
          <w:sz w:val="24"/>
          <w:szCs w:val="24"/>
          <w:highlight w:val="none"/>
          <w:lang w:eastAsia="zh-CN"/>
        </w:rPr>
        <w:t xml:space="preserve">开户银行：                           开户银行：</w:t>
      </w:r>
      <w:r>
        <w:rPr>
          <w:color w:val="auto"/>
          <w:highlight w:val="none"/>
        </w:rPr>
      </w:r>
    </w:p>
    <w:p>
      <w:pPr>
        <w:spacing w:line="360" w:lineRule="auto"/>
        <w:rPr>
          <w:color w:val="auto"/>
          <w:sz w:val="24"/>
          <w:szCs w:val="24"/>
          <w:highlight w:val="none"/>
        </w:rPr>
      </w:pPr>
      <w:r>
        <w:rPr>
          <w:rFonts w:hint="eastAsia"/>
          <w:color w:val="auto"/>
          <w:sz w:val="24"/>
          <w:szCs w:val="24"/>
          <w:highlight w:val="none"/>
          <w:lang w:eastAsia="zh-CN"/>
        </w:rPr>
        <w:t xml:space="preserve">账  号：                              账  号：</w:t>
      </w:r>
      <w:r>
        <w:rPr>
          <w:color w:val="auto"/>
          <w:highlight w:val="none"/>
        </w:rPr>
      </w:r>
    </w:p>
    <w:p>
      <w:pPr>
        <w:ind w:right="-36" w:firstLine="529"/>
        <w:spacing w:line="360" w:lineRule="auto"/>
        <w:tabs>
          <w:tab w:val="left" w:pos="0" w:leader="none"/>
        </w:tabs>
        <w:rPr>
          <w:color w:val="auto"/>
          <w:highlight w:val="none"/>
        </w:rPr>
      </w:pPr>
      <w:r>
        <w:rPr>
          <w:color w:val="auto"/>
          <w:highlight w:val="none"/>
          <w:lang w:eastAsia="zh-CN"/>
        </w:rPr>
      </w:r>
      <w:r>
        <w:rPr>
          <w:color w:val="auto"/>
          <w:highlight w:val="none"/>
        </w:rPr>
      </w:r>
    </w:p>
    <w:p>
      <w:pPr>
        <w:pStyle w:val="711"/>
        <w:jc w:val="center"/>
        <w:pageBreakBefore w:val="0"/>
        <w:spacing w:line="240" w:lineRule="auto"/>
        <w:rPr>
          <w:color w:val="auto"/>
          <w:szCs w:val="44"/>
          <w:highlight w:val="none"/>
        </w:rPr>
      </w:pPr>
      <w:r>
        <w:rPr>
          <w:rFonts w:hint="eastAsia"/>
          <w:color w:val="auto"/>
          <w:highlight w:val="none"/>
          <w:lang w:eastAsia="zh-CN"/>
        </w:rPr>
        <w:br w:type="page" w:clear="all"/>
      </w:r>
      <w:bookmarkStart w:id="113" w:name="_Toc20806"/>
      <w:r>
        <w:rPr>
          <w:rFonts w:hint="eastAsia"/>
          <w:color w:val="auto"/>
          <w:szCs w:val="44"/>
          <w:highlight w:val="none"/>
          <w:lang w:eastAsia="zh-CN"/>
        </w:rPr>
        <w:t xml:space="preserve">第二部分 通用合同条款</w:t>
      </w:r>
      <w:bookmarkEnd w:id="113"/>
      <w:r>
        <w:rPr>
          <w:color w:val="auto"/>
          <w:highlight w:val="none"/>
        </w:rPr>
      </w:r>
      <w:r>
        <w:rPr>
          <w:color w:val="auto"/>
          <w:highlight w:val="none"/>
        </w:rPr>
      </w:r>
    </w:p>
    <w:p>
      <w:pPr>
        <w:ind w:firstLine="422"/>
        <w:jc w:val="center"/>
        <w:pageBreakBefore w:val="0"/>
        <w:spacing w:line="240" w:lineRule="auto"/>
        <w:rPr>
          <w:color w:val="auto"/>
          <w:szCs w:val="21"/>
          <w:highlight w:val="none"/>
        </w:rPr>
      </w:pPr>
      <w:r>
        <w:rPr>
          <w:rFonts w:hint="eastAsia"/>
          <w:b/>
          <w:color w:val="auto"/>
          <w:szCs w:val="21"/>
          <w:highlight w:val="none"/>
          <w:lang w:eastAsia="zh-CN"/>
        </w:rPr>
        <w:t xml:space="preserve">采用《建设工程施工合同（示范文本）》（GF—2017—0201）。</w:t>
      </w:r>
      <w:r>
        <w:rPr>
          <w:color w:val="auto"/>
          <w:highlight w:val="none"/>
        </w:rPr>
      </w:r>
    </w:p>
    <w:p>
      <w:pPr>
        <w:pStyle w:val="711"/>
        <w:jc w:val="center"/>
        <w:pageBreakBefore w:val="0"/>
        <w:spacing w:line="240" w:lineRule="auto"/>
        <w:rPr>
          <w:color w:val="auto"/>
          <w:sz w:val="28"/>
          <w:szCs w:val="44"/>
          <w:highlight w:val="none"/>
        </w:rPr>
      </w:pPr>
      <w:r>
        <w:rPr>
          <w:color w:val="auto"/>
          <w:highlight w:val="none"/>
        </w:rPr>
      </w:r>
      <w:bookmarkStart w:id="114" w:name="_Toc16458"/>
      <w:r>
        <w:rPr>
          <w:color w:val="auto"/>
          <w:highlight w:val="none"/>
        </w:rPr>
      </w:r>
      <w:bookmarkStart w:id="115" w:name="_Toc8795"/>
      <w:r>
        <w:rPr>
          <w:rFonts w:hint="eastAsia"/>
          <w:color w:val="auto"/>
          <w:szCs w:val="44"/>
          <w:highlight w:val="none"/>
          <w:lang w:eastAsia="zh-CN"/>
        </w:rPr>
        <w:t xml:space="preserve">第三部分 专用合同条款</w:t>
      </w:r>
      <w:bookmarkEnd w:id="114"/>
      <w:r>
        <w:rPr>
          <w:color w:val="auto"/>
          <w:highlight w:val="none"/>
        </w:rPr>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1. 一般约定</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116" w:name="_Toc186"/>
      <w:r>
        <w:rPr>
          <w:color w:val="auto"/>
          <w:highlight w:val="none"/>
        </w:rPr>
      </w:r>
      <w:bookmarkStart w:id="117" w:name="_Toc28710"/>
      <w:r>
        <w:rPr>
          <w:rFonts w:hint="eastAsia"/>
          <w:color w:val="auto"/>
          <w:szCs w:val="21"/>
          <w:highlight w:val="none"/>
          <w:lang w:eastAsia="zh-CN"/>
        </w:rPr>
        <w:t xml:space="preserve">1.1 词语定义</w:t>
      </w:r>
      <w:bookmarkEnd w:id="116"/>
      <w:r>
        <w:rPr>
          <w:color w:val="auto"/>
          <w:highlight w:val="none"/>
        </w:rPr>
      </w:r>
      <w:bookmarkEnd w:id="117"/>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1.1.1合同：</w:t>
      </w:r>
      <w:r>
        <w:rPr>
          <w:rFonts w:hint="eastAsia"/>
          <w:color w:val="auto"/>
          <w:highlight w:val="none"/>
          <w:lang w:eastAsia="zh-CN"/>
        </w:rPr>
        <w:t xml:space="preserve">合同协议书、中标通知书（如果有）、投标函、专用合同条款及其附件、通用合同条款、技术标准和要求、图纸、已标价工程量清单或预算书以及其他合同文件。</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1.1.1.10其他合同文件包括：（1）招标文件（含澄清、答疑等补充文件）；（2）标准、规范及有关技术资料；（3）发包人、承包人有关工程的洽商、变更等书面协议或文件视为本合同的组成部分。</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1.1.2 合同当事人及其他相关方</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1.1.2.4监理人：</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名    称：；</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资质类别和等级：；</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联系电话：；</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电子信箱：；</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通信地址：。</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1.1.2.5 设计人：</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名    称：；</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资质类别和等级：；</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联系电话：；</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电子信箱：；</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通信地址：。</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1.1.3 工程和设备</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1.1.3.7 作为施工现场组成部分的其他场所包括：</w:t>
      </w:r>
      <w:r>
        <w:rPr>
          <w:rFonts w:hint="eastAsia"/>
          <w:color w:val="auto"/>
          <w:szCs w:val="21"/>
          <w:highlight w:val="none"/>
          <w:u w:val="single"/>
          <w:lang w:eastAsia="zh-CN"/>
        </w:rPr>
        <w:t xml:space="preserve">临时设施及永久占地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1.1.3.9 永久占地包括：</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1.1.3.10 临时占地包括：</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1.3法律 </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适用于合同的其他规范性文件：</w:t>
      </w:r>
      <w:r>
        <w:rPr>
          <w:rFonts w:hint="eastAsia"/>
          <w:color w:val="auto"/>
          <w:szCs w:val="21"/>
          <w:highlight w:val="none"/>
          <w:u w:val="single"/>
          <w:lang w:eastAsia="zh-CN"/>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1.4 标准和规范</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1.4.1适用于工程的标准规范包括：</w:t>
      </w:r>
      <w:r>
        <w:rPr>
          <w:rFonts w:hint="eastAsia"/>
          <w:color w:val="auto"/>
          <w:szCs w:val="21"/>
          <w:highlight w:val="none"/>
          <w:u w:val="single"/>
          <w:lang w:eastAsia="zh-CN"/>
        </w:rPr>
        <w:t xml:space="preserve">现行工程施工标准规范和建筑安装工程施工验收规范、建筑安装工程质量检验评定标准。建筑工程按《建筑工程施工质量验收统一标准》（GB 50300-2013）、市政工程按建设部建城〔1992〕68号文关于《市政工程质量等级评定规定》及《市政工程质量等级评定补充规定》及相关规定要求进行。</w:t>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118" w:name="_Toc11843"/>
      <w:r>
        <w:rPr>
          <w:color w:val="auto"/>
          <w:highlight w:val="none"/>
        </w:rPr>
      </w:r>
      <w:bookmarkStart w:id="119" w:name="_Toc9652"/>
      <w:r>
        <w:rPr>
          <w:rFonts w:hint="eastAsia"/>
          <w:color w:val="auto"/>
          <w:szCs w:val="21"/>
          <w:highlight w:val="none"/>
          <w:lang w:eastAsia="zh-CN"/>
        </w:rPr>
        <w:t xml:space="preserve">1.4.2 发包人提供国外标准、规范的名称：</w:t>
      </w:r>
      <w:bookmarkEnd w:id="118"/>
      <w:r>
        <w:rPr>
          <w:color w:val="auto"/>
          <w:highlight w:val="none"/>
        </w:rPr>
      </w:r>
      <w:bookmarkEnd w:id="119"/>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发包人提供国外标准、规范的份数：</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发包人提供国外标准、规范的名称：</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1.4.3发包人对工程的技术标准和功能要求的特殊要求：</w:t>
      </w:r>
      <w:r>
        <w:rPr>
          <w:rFonts w:hint="eastAsia"/>
          <w:color w:val="auto"/>
          <w:szCs w:val="21"/>
          <w:highlight w:val="none"/>
          <w:u w:val="single"/>
          <w:lang w:eastAsia="zh-CN"/>
        </w:rPr>
        <w:t xml:space="preserve"> 无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120" w:name="_Toc7840"/>
      <w:r>
        <w:rPr>
          <w:color w:val="auto"/>
          <w:highlight w:val="none"/>
        </w:rPr>
      </w:r>
      <w:bookmarkStart w:id="121" w:name="_Toc3799"/>
      <w:r>
        <w:rPr>
          <w:rFonts w:hint="eastAsia"/>
          <w:color w:val="auto"/>
          <w:szCs w:val="21"/>
          <w:highlight w:val="none"/>
          <w:lang w:eastAsia="zh-CN"/>
        </w:rPr>
        <w:t xml:space="preserve">1.5 合同文件的优先顺序</w:t>
      </w:r>
      <w:bookmarkEnd w:id="120"/>
      <w:r>
        <w:rPr>
          <w:color w:val="auto"/>
          <w:highlight w:val="none"/>
        </w:rPr>
      </w:r>
      <w:bookmarkEnd w:id="121"/>
      <w:r>
        <w:rPr>
          <w:color w:val="auto"/>
          <w:highlight w:val="none"/>
        </w:rPr>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合同文件组成及优先顺序为：</w:t>
      </w:r>
      <w:r>
        <w:rPr>
          <w:rFonts w:hint="eastAsia"/>
          <w:color w:val="auto"/>
          <w:szCs w:val="21"/>
          <w:highlight w:val="none"/>
          <w:u w:val="single"/>
          <w:lang w:eastAsia="zh-CN"/>
        </w:rPr>
        <w:t xml:space="preserve">（1）合同协议书（2）中标通知书（3）投标函及其附录（4）专用合同条款及其附件（5）招标文件及相关补充通知（6）技术标准和要求（7）图纸及变更资料（8）已标价工程量清单（9）通用合同条款（10）其他合同文件。</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上述各项合同文件包括合同当事人就该项合同文件所作出的补充和修改，属于同一类内容的文件，应以最新签署的为准。</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在合同订立及履行过程中形成的与合同有关的文件均构成合同文件组成部分，并根据其性质确定优先解释顺序。</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122" w:name="_Toc7574"/>
      <w:r>
        <w:rPr>
          <w:color w:val="auto"/>
          <w:highlight w:val="none"/>
        </w:rPr>
      </w:r>
      <w:bookmarkStart w:id="123" w:name="_Toc4906"/>
      <w:r>
        <w:rPr>
          <w:rFonts w:hint="eastAsia"/>
          <w:color w:val="auto"/>
          <w:szCs w:val="21"/>
          <w:highlight w:val="none"/>
          <w:lang w:eastAsia="zh-CN"/>
        </w:rPr>
        <w:t xml:space="preserve">1.6 图纸和承包人文件</w:t>
      </w:r>
      <w:bookmarkEnd w:id="122"/>
      <w:r>
        <w:rPr>
          <w:color w:val="auto"/>
          <w:highlight w:val="none"/>
        </w:rPr>
      </w:r>
      <w:bookmarkEnd w:id="123"/>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1.6.1 图纸的提供</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发包人向承包人提供图纸的期限：</w:t>
      </w:r>
      <w:r>
        <w:rPr>
          <w:rFonts w:hint="eastAsia"/>
          <w:color w:val="auto"/>
          <w:szCs w:val="21"/>
          <w:highlight w:val="none"/>
          <w:u w:val="single"/>
          <w:lang w:val="en-US"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1.6.4 承包人文件</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需要由承包人提供的文件，包括：</w:t>
      </w:r>
      <w:r>
        <w:rPr>
          <w:rFonts w:hint="eastAsia"/>
          <w:color w:val="auto"/>
          <w:szCs w:val="21"/>
          <w:highlight w:val="none"/>
          <w:u w:val="single"/>
          <w:lang w:eastAsia="zh-CN"/>
        </w:rPr>
        <w:t xml:space="preserve">施工组织方案、施工进度计划，材料计划。已完工程量报表（含工程变更及签证预算）、承包人购材料清单、劳动力及用款计划等及发包人要求提供的其他资料；</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承包人提供的文件的期限为：</w:t>
      </w:r>
      <w:r>
        <w:rPr>
          <w:rFonts w:hint="eastAsia"/>
          <w:color w:val="auto"/>
          <w:szCs w:val="21"/>
          <w:highlight w:val="none"/>
          <w:u w:val="single"/>
          <w:lang w:eastAsia="zh-CN"/>
        </w:rPr>
        <w:t xml:space="preserve">承包人在开工前7天内向发包人及监理人提供4份详细的施工组织方案、施工进度计划、完工时间及进场后7日内提供材料计划，对于关键部位和环节工程，施工前至少5天内应按监理工程师要求提交专项施工方案，以备审查批准。每月25日前应按监理工程师要求</w:t>
      </w:r>
      <w:r>
        <w:rPr>
          <w:rStyle w:val="752"/>
          <w:rFonts w:hint="eastAsia"/>
          <w:color w:val="auto"/>
          <w:highlight w:val="none"/>
          <w:lang w:eastAsia="zh-CN"/>
        </w:rPr>
        <w:t xml:space="preserve">分别向发包人及监理人</w:t>
      </w:r>
      <w:r>
        <w:rPr>
          <w:rFonts w:hint="eastAsia"/>
          <w:color w:val="auto"/>
          <w:szCs w:val="21"/>
          <w:highlight w:val="none"/>
          <w:u w:val="single"/>
          <w:lang w:eastAsia="zh-CN"/>
        </w:rPr>
        <w:t xml:space="preserve">提供本月周报及下月计划各4份；每周例会前一天应按监理工程师要求提供本周周报及下周计划各4份；必要时应提供日报和日计划及发包人要求提供的其他资料各4份。</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承包人提供的文件的数量为：</w:t>
      </w:r>
      <w:r>
        <w:rPr>
          <w:rFonts w:hint="eastAsia"/>
          <w:color w:val="auto"/>
          <w:szCs w:val="21"/>
          <w:highlight w:val="none"/>
          <w:u w:val="single"/>
          <w:lang w:eastAsia="zh-CN"/>
        </w:rPr>
        <w:t xml:space="preserve">根据发包人实际要求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承包人提供的文件的形式为：</w:t>
      </w:r>
      <w:r>
        <w:rPr>
          <w:rFonts w:hint="eastAsia"/>
          <w:color w:val="auto"/>
          <w:szCs w:val="21"/>
          <w:highlight w:val="none"/>
          <w:u w:val="single"/>
          <w:lang w:eastAsia="zh-CN"/>
        </w:rPr>
        <w:t xml:space="preserve">  书面文件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发包人审批承包人文件的期限：</w:t>
      </w:r>
      <w:r>
        <w:rPr>
          <w:rFonts w:hint="eastAsia"/>
          <w:color w:val="auto"/>
          <w:szCs w:val="21"/>
          <w:highlight w:val="none"/>
          <w:u w:val="single"/>
          <w:lang w:eastAsia="zh-CN"/>
        </w:rPr>
        <w:t xml:space="preserve">根据发包人实际要求  </w:t>
      </w:r>
      <w:r>
        <w:rPr>
          <w:rFonts w:hint="eastAsia"/>
          <w:color w:val="auto"/>
          <w:szCs w:val="21"/>
          <w:highlight w:val="none"/>
          <w:lang w:eastAsia="zh-CN"/>
        </w:rPr>
        <w:t xml:space="preserve">。</w:t>
      </w:r>
      <w:r>
        <w:rPr>
          <w:color w:val="auto"/>
          <w:highlight w:val="none"/>
        </w:rPr>
      </w:r>
    </w:p>
    <w:p>
      <w:pPr>
        <w:ind w:firstLine="420"/>
        <w:pageBreakBefore w:val="0"/>
        <w:spacing w:line="240" w:lineRule="auto"/>
        <w:rPr>
          <w:rFonts w:hint="default"/>
          <w:color w:val="auto"/>
          <w:szCs w:val="21"/>
          <w:highlight w:val="none"/>
          <w:u w:val="none"/>
        </w:rPr>
      </w:pPr>
      <w:r>
        <w:rPr>
          <w:rFonts w:hint="eastAsia"/>
          <w:color w:val="auto"/>
          <w:szCs w:val="21"/>
          <w:highlight w:val="none"/>
          <w:lang w:eastAsia="zh-CN"/>
        </w:rPr>
        <w:t xml:space="preserve">监理人审批承包人文件的期限：</w:t>
      </w:r>
      <w:r>
        <w:rPr>
          <w:rFonts w:hint="eastAsia"/>
          <w:color w:val="auto"/>
          <w:szCs w:val="21"/>
          <w:highlight w:val="none"/>
          <w:u w:val="single"/>
          <w:lang w:val="en-US" w:eastAsia="zh-CN"/>
        </w:rPr>
        <w:t xml:space="preserve">  / </w:t>
      </w:r>
      <w:r>
        <w:rPr>
          <w:rFonts w:hint="eastAsia"/>
          <w:color w:val="auto"/>
          <w:szCs w:val="21"/>
          <w:highlight w:val="none"/>
          <w:u w:val="none"/>
          <w:lang w:val="en-US"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1.6.5 现场图纸准备</w:t>
      </w:r>
      <w:r>
        <w:rPr>
          <w:color w:val="auto"/>
          <w:highlight w:val="none"/>
        </w:rPr>
      </w:r>
    </w:p>
    <w:p>
      <w:pPr>
        <w:ind w:firstLine="420"/>
        <w:pageBreakBefore w:val="0"/>
        <w:spacing w:line="240" w:lineRule="auto"/>
        <w:rPr>
          <w:color w:val="auto"/>
          <w:szCs w:val="21"/>
          <w:highlight w:val="none"/>
          <w:u w:val="none"/>
        </w:rPr>
      </w:pPr>
      <w:r>
        <w:rPr>
          <w:rFonts w:hint="eastAsia"/>
          <w:color w:val="auto"/>
          <w:szCs w:val="21"/>
          <w:highlight w:val="none"/>
          <w:lang w:eastAsia="zh-CN"/>
        </w:rPr>
        <w:t xml:space="preserve">关于现场图纸准备的约定：</w:t>
      </w:r>
      <w:r>
        <w:rPr>
          <w:rFonts w:hint="eastAsia"/>
          <w:color w:val="auto"/>
          <w:szCs w:val="21"/>
          <w:highlight w:val="none"/>
          <w:u w:val="single"/>
          <w:lang w:val="en-US" w:eastAsia="zh-CN"/>
        </w:rPr>
        <w:t xml:space="preserve">  / </w:t>
      </w:r>
      <w:r>
        <w:rPr>
          <w:rFonts w:hint="eastAsia"/>
          <w:color w:val="auto"/>
          <w:szCs w:val="21"/>
          <w:highlight w:val="none"/>
          <w:u w:val="none"/>
          <w:lang w:val="en-US" w:eastAsia="zh-CN"/>
        </w:rPr>
        <w:t xml:space="preserve">。</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124" w:name="_Toc32765"/>
      <w:r>
        <w:rPr>
          <w:color w:val="auto"/>
          <w:highlight w:val="none"/>
        </w:rPr>
      </w:r>
      <w:bookmarkStart w:id="125" w:name="_Toc12077"/>
      <w:r>
        <w:rPr>
          <w:rFonts w:hint="eastAsia"/>
          <w:color w:val="auto"/>
          <w:szCs w:val="21"/>
          <w:highlight w:val="none"/>
          <w:lang w:eastAsia="zh-CN"/>
        </w:rPr>
        <w:t xml:space="preserve">1.7 联络</w:t>
      </w:r>
      <w:bookmarkEnd w:id="124"/>
      <w:r>
        <w:rPr>
          <w:color w:val="auto"/>
          <w:highlight w:val="none"/>
        </w:rPr>
      </w:r>
      <w:bookmarkEnd w:id="125"/>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1.7.1发包人和承包人应当在</w:t>
      </w:r>
      <w:r>
        <w:rPr>
          <w:rFonts w:hint="eastAsia"/>
          <w:color w:val="auto"/>
          <w:szCs w:val="21"/>
          <w:highlight w:val="none"/>
          <w:u w:val="single"/>
          <w:lang w:eastAsia="zh-CN"/>
        </w:rPr>
        <w:t xml:space="preserve"> 3 </w:t>
      </w:r>
      <w:r>
        <w:rPr>
          <w:rFonts w:hint="eastAsia"/>
          <w:color w:val="auto"/>
          <w:szCs w:val="21"/>
          <w:highlight w:val="none"/>
          <w:lang w:eastAsia="zh-CN"/>
        </w:rPr>
        <w:t xml:space="preserve">天内将与合同有关的通知、批准、证明、证书、指示、指令、要求、请求、同意、意见、确定和决定等书面函件送达对方当事人。</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1.7.2 发包人接收文件的地点：</w:t>
      </w:r>
      <w:r>
        <w:rPr>
          <w:rFonts w:hint="eastAsia"/>
          <w:color w:val="auto"/>
          <w:szCs w:val="21"/>
          <w:highlight w:val="none"/>
          <w:u w:val="single"/>
          <w:lang w:eastAsia="zh-CN"/>
        </w:rPr>
        <w:t xml:space="preserve">发包人指定地点</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发包人指定的接收人为：</w:t>
      </w:r>
      <w:r>
        <w:rPr>
          <w:rFonts w:hint="eastAsia"/>
          <w:color w:val="auto"/>
          <w:szCs w:val="21"/>
          <w:highlight w:val="none"/>
          <w:u w:val="single"/>
          <w:lang w:eastAsia="zh-CN"/>
        </w:rPr>
        <w:t xml:space="preserve">发包人现场代表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承包人接收文件的地点：</w:t>
      </w:r>
      <w:r>
        <w:rPr>
          <w:rFonts w:hint="eastAsia"/>
          <w:color w:val="auto"/>
          <w:szCs w:val="21"/>
          <w:highlight w:val="none"/>
          <w:u w:val="single"/>
          <w:lang w:eastAsia="zh-CN"/>
        </w:rPr>
        <w:t xml:space="preserve">双方协商确定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承包人指定的接收人为：</w:t>
      </w:r>
      <w:r>
        <w:rPr>
          <w:rFonts w:hint="eastAsia"/>
          <w:color w:val="auto"/>
          <w:szCs w:val="21"/>
          <w:highlight w:val="none"/>
          <w:u w:val="single"/>
          <w:lang w:eastAsia="zh-CN"/>
        </w:rPr>
        <w:t xml:space="preserve">双方协商确定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监理人接收文件的地点：</w:t>
      </w:r>
      <w:r>
        <w:rPr>
          <w:rFonts w:hint="eastAsia"/>
          <w:color w:val="auto"/>
          <w:szCs w:val="21"/>
          <w:highlight w:val="none"/>
          <w:u w:val="single"/>
          <w:lang w:eastAsia="zh-CN"/>
        </w:rPr>
        <w:t xml:space="preserve">双方协商确定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监理人指定的接收人为：</w:t>
      </w:r>
      <w:r>
        <w:rPr>
          <w:rFonts w:hint="eastAsia"/>
          <w:color w:val="auto"/>
          <w:szCs w:val="21"/>
          <w:highlight w:val="none"/>
          <w:u w:val="single"/>
          <w:lang w:eastAsia="zh-CN"/>
        </w:rPr>
        <w:t xml:space="preserve">双方协商确定</w:t>
      </w:r>
      <w:r>
        <w:rPr>
          <w:rFonts w:hint="eastAsia"/>
          <w:color w:val="auto"/>
          <w:szCs w:val="21"/>
          <w:highlight w:val="none"/>
          <w:u w:val="single"/>
          <w:lang w:val="en-US" w:eastAsia="zh-CN"/>
        </w:rPr>
        <w:t xml:space="preserve">  </w:t>
      </w:r>
      <w:r>
        <w:rPr>
          <w:rFonts w:hint="eastAsia"/>
          <w:color w:val="auto"/>
          <w:szCs w:val="21"/>
          <w:highlight w:val="none"/>
          <w:u w:val="single"/>
          <w:lang w:eastAsia="zh-CN"/>
        </w:rPr>
        <w:t xml:space="preserve">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126" w:name="_Toc26529"/>
      <w:r>
        <w:rPr>
          <w:color w:val="auto"/>
          <w:highlight w:val="none"/>
        </w:rPr>
      </w:r>
      <w:bookmarkStart w:id="127" w:name="_Toc3231"/>
      <w:r>
        <w:rPr>
          <w:rFonts w:hint="eastAsia"/>
          <w:color w:val="auto"/>
          <w:szCs w:val="21"/>
          <w:highlight w:val="none"/>
          <w:lang w:eastAsia="zh-CN"/>
        </w:rPr>
        <w:t xml:space="preserve">1.10 交通运输</w:t>
      </w:r>
      <w:bookmarkEnd w:id="126"/>
      <w:r>
        <w:rPr>
          <w:color w:val="auto"/>
          <w:highlight w:val="none"/>
        </w:rPr>
      </w:r>
      <w:bookmarkEnd w:id="127"/>
      <w:r>
        <w:rPr>
          <w:color w:val="auto"/>
          <w:highlight w:val="none"/>
        </w:rPr>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128" w:name="_Toc5671"/>
      <w:r>
        <w:rPr>
          <w:color w:val="auto"/>
          <w:highlight w:val="none"/>
        </w:rPr>
      </w:r>
      <w:bookmarkStart w:id="129" w:name="_Toc17019"/>
      <w:r>
        <w:rPr>
          <w:rFonts w:hint="eastAsia"/>
          <w:color w:val="auto"/>
          <w:szCs w:val="21"/>
          <w:highlight w:val="none"/>
          <w:lang w:eastAsia="zh-CN"/>
        </w:rPr>
        <w:t xml:space="preserve">1.10.1 出入现场的权利</w:t>
      </w:r>
      <w:bookmarkEnd w:id="128"/>
      <w:r>
        <w:rPr>
          <w:color w:val="auto"/>
          <w:highlight w:val="none"/>
        </w:rPr>
      </w:r>
      <w:bookmarkEnd w:id="129"/>
      <w:r>
        <w:rPr>
          <w:color w:val="auto"/>
          <w:highlight w:val="none"/>
        </w:rPr>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关于出入现场的权利的约定：</w:t>
      </w:r>
      <w:r>
        <w:rPr>
          <w:rFonts w:hint="eastAsia"/>
          <w:color w:val="auto"/>
          <w:szCs w:val="21"/>
          <w:highlight w:val="none"/>
          <w:u w:val="single"/>
          <w:lang w:eastAsia="zh-CN"/>
        </w:rPr>
        <w:t xml:space="preserve">施工无关人员不得入内，所有特殊工种人员均应有上岗资格并符合国家有关规定，持有有关部门颁发的资格证书或上岗证，在施工上岗之前交</w:t>
      </w:r>
      <w:r>
        <w:rPr>
          <w:rFonts w:hint="eastAsia"/>
          <w:color w:val="auto"/>
          <w:szCs w:val="21"/>
          <w:highlight w:val="none"/>
          <w:u w:val="single"/>
          <w:lang w:val="en-US" w:eastAsia="zh-CN"/>
        </w:rPr>
        <w:t xml:space="preserve">发包人</w:t>
      </w:r>
      <w:r>
        <w:rPr>
          <w:rFonts w:hint="eastAsia"/>
          <w:color w:val="auto"/>
          <w:szCs w:val="21"/>
          <w:highlight w:val="none"/>
          <w:u w:val="single"/>
          <w:lang w:eastAsia="zh-CN"/>
        </w:rPr>
        <w:t xml:space="preserve">工程师审查，审核通过后方准佩戴单位岗位证上岗施工，按照发包人要求进行统一管理。</w:t>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130" w:name="_Toc19061"/>
      <w:r>
        <w:rPr>
          <w:color w:val="auto"/>
          <w:highlight w:val="none"/>
        </w:rPr>
      </w:r>
      <w:bookmarkStart w:id="131" w:name="_Toc26688"/>
      <w:r>
        <w:rPr>
          <w:rFonts w:hint="eastAsia"/>
          <w:color w:val="auto"/>
          <w:szCs w:val="21"/>
          <w:highlight w:val="none"/>
          <w:lang w:eastAsia="zh-CN"/>
        </w:rPr>
        <w:t xml:space="preserve">1.10.3 场内交通</w:t>
      </w:r>
      <w:bookmarkEnd w:id="130"/>
      <w:r>
        <w:rPr>
          <w:color w:val="auto"/>
          <w:highlight w:val="none"/>
        </w:rPr>
      </w:r>
      <w:bookmarkEnd w:id="131"/>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关于场外交通和场内交通的边界的约定：</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关于发包人向承包人免费提供满足工程施工需要的场内道路和交通设施的约定：</w:t>
      </w:r>
      <w:r>
        <w:rPr>
          <w:rFonts w:hint="eastAsia"/>
          <w:color w:val="auto"/>
          <w:szCs w:val="21"/>
          <w:highlight w:val="none"/>
          <w:u w:val="single"/>
          <w:lang w:eastAsia="zh-CN"/>
        </w:rPr>
        <w:t xml:space="preserve"> 现状 </w:t>
      </w:r>
      <w:r>
        <w:rPr>
          <w:rFonts w:hint="eastAsia"/>
          <w:color w:val="auto"/>
          <w:szCs w:val="21"/>
          <w:highlight w:val="none"/>
          <w:lang w:eastAsia="zh-CN"/>
        </w:rPr>
        <w:t xml:space="preserve">。  </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1.10.4超大件和超重件的运输</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运输超大件或超重件所需的道路和桥梁临时加固改造费用和其他有关费用由</w:t>
      </w:r>
      <w:r>
        <w:rPr>
          <w:rFonts w:hint="eastAsia"/>
          <w:color w:val="auto"/>
          <w:szCs w:val="21"/>
          <w:highlight w:val="none"/>
          <w:u w:val="single"/>
          <w:lang w:eastAsia="zh-CN"/>
        </w:rPr>
        <w:t xml:space="preserve"> 承包人 </w:t>
      </w:r>
      <w:r>
        <w:rPr>
          <w:rFonts w:hint="eastAsia"/>
          <w:color w:val="auto"/>
          <w:szCs w:val="21"/>
          <w:highlight w:val="none"/>
          <w:lang w:eastAsia="zh-CN"/>
        </w:rPr>
        <w:t xml:space="preserve">承担。</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132" w:name="_Toc23881"/>
      <w:r>
        <w:rPr>
          <w:color w:val="auto"/>
          <w:highlight w:val="none"/>
        </w:rPr>
      </w:r>
      <w:bookmarkStart w:id="133" w:name="_Toc19238"/>
      <w:r>
        <w:rPr>
          <w:rFonts w:hint="eastAsia"/>
          <w:color w:val="auto"/>
          <w:szCs w:val="21"/>
          <w:highlight w:val="none"/>
          <w:lang w:eastAsia="zh-CN"/>
        </w:rPr>
        <w:t xml:space="preserve">1.11 知识产权</w:t>
      </w:r>
      <w:bookmarkEnd w:id="132"/>
      <w:r>
        <w:rPr>
          <w:color w:val="auto"/>
          <w:highlight w:val="none"/>
        </w:rPr>
      </w:r>
      <w:bookmarkEnd w:id="133"/>
      <w:r>
        <w:rPr>
          <w:color w:val="auto"/>
          <w:highlight w:val="none"/>
        </w:rPr>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1.11.1关于发包人提供给承包人的图纸、发包人为实施工程自行编制或委托编制的技术规范以及反映发包人关于合同要求或其他类似性质的文件的著作权的归属：</w:t>
      </w:r>
      <w:r>
        <w:rPr>
          <w:rFonts w:hint="eastAsia"/>
          <w:color w:val="auto"/>
          <w:szCs w:val="21"/>
          <w:highlight w:val="none"/>
          <w:u w:val="single"/>
          <w:lang w:eastAsia="zh-CN"/>
        </w:rPr>
        <w:t xml:space="preserve">  发包人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关于发包人提供的上述文件的使用限制的要求：</w:t>
      </w:r>
      <w:r>
        <w:rPr>
          <w:rFonts w:hint="eastAsia"/>
          <w:color w:val="auto"/>
          <w:szCs w:val="21"/>
          <w:highlight w:val="none"/>
          <w:u w:val="single"/>
          <w:lang w:eastAsia="zh-CN"/>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134" w:name="_Toc28226"/>
      <w:r>
        <w:rPr>
          <w:color w:val="auto"/>
          <w:highlight w:val="none"/>
        </w:rPr>
      </w:r>
      <w:bookmarkStart w:id="135" w:name="_Toc71"/>
      <w:r>
        <w:rPr>
          <w:rFonts w:hint="eastAsia"/>
          <w:color w:val="auto"/>
          <w:szCs w:val="21"/>
          <w:highlight w:val="none"/>
          <w:lang w:eastAsia="zh-CN"/>
        </w:rPr>
        <w:t xml:space="preserve">1.11.2 关于承包人为实施工程所编制文件的著作权的归属：</w:t>
      </w:r>
      <w:r>
        <w:rPr>
          <w:rFonts w:hint="eastAsia"/>
          <w:color w:val="auto"/>
          <w:szCs w:val="21"/>
          <w:highlight w:val="none"/>
          <w:u w:val="single"/>
          <w:lang w:eastAsia="zh-CN"/>
        </w:rPr>
        <w:t xml:space="preserve">发包人</w:t>
      </w:r>
      <w:r>
        <w:rPr>
          <w:rFonts w:hint="eastAsia"/>
          <w:color w:val="auto"/>
          <w:szCs w:val="21"/>
          <w:highlight w:val="none"/>
          <w:lang w:eastAsia="zh-CN"/>
        </w:rPr>
        <w:t xml:space="preserve">。</w:t>
      </w:r>
      <w:bookmarkEnd w:id="134"/>
      <w:r>
        <w:rPr>
          <w:color w:val="auto"/>
          <w:highlight w:val="none"/>
        </w:rPr>
      </w:r>
      <w:bookmarkEnd w:id="135"/>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关于承包人提供的上述文件的使用限制的要求：</w:t>
      </w:r>
      <w:r>
        <w:rPr>
          <w:rFonts w:hint="eastAsia"/>
          <w:color w:val="auto"/>
          <w:szCs w:val="21"/>
          <w:highlight w:val="none"/>
          <w:u w:val="single"/>
          <w:lang w:eastAsia="zh-CN"/>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136" w:name="_Toc30744"/>
      <w:r>
        <w:rPr>
          <w:color w:val="auto"/>
          <w:highlight w:val="none"/>
        </w:rPr>
      </w:r>
      <w:bookmarkStart w:id="137" w:name="_Toc5353"/>
      <w:r>
        <w:rPr>
          <w:rFonts w:hint="eastAsia"/>
          <w:color w:val="auto"/>
          <w:szCs w:val="21"/>
          <w:highlight w:val="none"/>
          <w:lang w:eastAsia="zh-CN"/>
        </w:rPr>
        <w:t xml:space="preserve">1.11.4 承包人在施工过程中所采用的专利、专有技术、技术秘密的使用费的承担方式：</w:t>
      </w:r>
      <w:r>
        <w:rPr>
          <w:rFonts w:hint="eastAsia"/>
          <w:color w:val="auto"/>
          <w:szCs w:val="21"/>
          <w:highlight w:val="none"/>
          <w:u w:val="single"/>
          <w:lang w:eastAsia="zh-CN"/>
        </w:rPr>
        <w:t xml:space="preserve"> 由承包人承担 </w:t>
      </w:r>
      <w:r>
        <w:rPr>
          <w:rFonts w:hint="eastAsia"/>
          <w:color w:val="auto"/>
          <w:szCs w:val="21"/>
          <w:highlight w:val="none"/>
          <w:lang w:eastAsia="zh-CN"/>
        </w:rPr>
        <w:t xml:space="preserve">。</w:t>
      </w:r>
      <w:bookmarkEnd w:id="136"/>
      <w:r>
        <w:rPr>
          <w:color w:val="auto"/>
          <w:highlight w:val="none"/>
        </w:rPr>
      </w:r>
      <w:bookmarkEnd w:id="137"/>
      <w:r>
        <w:rPr>
          <w:color w:val="auto"/>
          <w:highlight w:val="none"/>
        </w:rPr>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1.13工程量清单错误的修正</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出现工程量清单错误时，是否调整合同价格：</w:t>
      </w:r>
      <w:r>
        <w:rPr>
          <w:rFonts w:hint="eastAsia"/>
          <w:b/>
          <w:color w:val="auto"/>
          <w:szCs w:val="21"/>
          <w:highlight w:val="none"/>
          <w:u w:val="single"/>
          <w:lang w:eastAsia="zh-CN"/>
        </w:rPr>
        <w:t xml:space="preserve"> 调整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允许调整合同价格的工程量偏差范围： </w:t>
      </w:r>
      <w:r>
        <w:rPr>
          <w:color w:val="auto"/>
          <w:highlight w:val="none"/>
        </w:rPr>
      </w:r>
    </w:p>
    <w:p>
      <w:pPr>
        <w:numPr>
          <w:ilvl w:val="0"/>
          <w:numId w:val="4"/>
        </w:numPr>
        <w:ind w:firstLine="420"/>
        <w:pageBreakBefore w:val="0"/>
        <w:spacing w:line="240" w:lineRule="auto"/>
        <w:rPr>
          <w:color w:val="auto"/>
          <w:szCs w:val="21"/>
          <w:highlight w:val="none"/>
        </w:rPr>
      </w:pPr>
      <w:r>
        <w:rPr>
          <w:rFonts w:hint="eastAsia"/>
          <w:color w:val="auto"/>
          <w:szCs w:val="21"/>
          <w:highlight w:val="none"/>
          <w:lang w:eastAsia="zh-CN"/>
        </w:rPr>
        <w:t xml:space="preserve">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rPr>
          <w:color w:val="auto"/>
          <w:highlight w:val="none"/>
        </w:rPr>
      </w:r>
    </w:p>
    <w:p>
      <w:pPr>
        <w:numPr>
          <w:ilvl w:val="0"/>
          <w:numId w:val="4"/>
        </w:numPr>
        <w:ind w:left="0"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若施工中出现施工图纸（含设计变更）与工程量清单项目特征描述不符，应及时上报采购人，按照采购人确认的最终方案进行施工。</w:t>
      </w:r>
      <w:r>
        <w:rPr>
          <w:color w:val="auto"/>
          <w:highlight w:val="none"/>
        </w:rPr>
      </w:r>
    </w:p>
    <w:p>
      <w:pPr>
        <w:numPr>
          <w:ilvl w:val="0"/>
          <w:numId w:val="4"/>
        </w:numPr>
        <w:ind w:left="0"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因分部分项工程量清单漏项、项目特征不符或非承包人原因的工程变更，造成增加新的工程量清单项目，其对应的综合单价按下列方法确定：</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（1）已标价工程量清单中有适用于工程变更项目的，应采用该项目的单价；但当工程变更导致该清单项目的工程数量发生变化，且工程量偏差超过15%时，该项目单价应按照以下规定调整：</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当工程量减少15%以上时，该工程量的综合单价保持不变；当工程量增加15%以上时，增加部分的工程量的综合单价应予调低；按照以下公式调整：</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当Q1＞ 1.15Q0时：S=1.15Q0P0+(Q1-1.15Q0)×P1</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式中S ------ 调整后的某一分部分项工程费结算价</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     Q1------ 最终完成的工程量</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     Q0------ 招标工程量清单列出的工程量</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     P1------ 按照最终完成工程量重新调整的综合单价</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     P0------ 承包人在工程量清单中填报的综合单价</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（2）已标价工程量清单中没有适用但有类似于工程变更项目的，可在合理范围内参照类似项目的单价；</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4）已标价工程量清单中没有适用也没有类似于变更工程项目的，且工程造管理机构发布信息价缺价的，应由承包人根据变更工程资料、计量规则、计价办法和通过市场调查等取得合法依据的市场价格提出变更工程项目的单价，并应报发包人确认后调整；</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（5）投标</w:t>
      </w:r>
      <w:r>
        <w:rPr>
          <w:rFonts w:hint="eastAsia"/>
          <w:color w:val="auto"/>
          <w:highlight w:val="none"/>
          <w:lang w:eastAsia="zh-CN"/>
        </w:rPr>
        <w:t xml:space="preserve">人应根据本工程实际、投标人的施工组织设计及其自身情况，一次性地报出本工程措施费和其他项目费。对于采购人所列的措施项目，投标人可根据工程实际与施工组织设计进行增补，但不应更改采购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①安全文明施工费应按照实际发生变化的措施项目执行连建发〔2016〕440号规定，未经核定，不得计取；</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②采用单价计算的措施项目费，按照实际发生变化措施项目，按照上述（1）（2）（3）（4）条确定单价，工程量按实计算；</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③按总价计算的措施项目费，以项为单位的包干使用。</w:t>
      </w:r>
      <w:r>
        <w:rPr>
          <w:color w:val="auto"/>
          <w:highlight w:val="none"/>
        </w:rPr>
      </w:r>
    </w:p>
    <w:p>
      <w:pPr>
        <w:ind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如果承包人未事先将拟实施方案提交给发包人确认，则应视为工程变更不引起措施项目费的调整或承包人放弃调整措施项目费的权利；</w:t>
      </w:r>
      <w:r>
        <w:rPr>
          <w:color w:val="auto"/>
          <w:highlight w:val="none"/>
        </w:rPr>
      </w:r>
    </w:p>
    <w:p>
      <w:pPr>
        <w:numPr>
          <w:ilvl w:val="0"/>
          <w:numId w:val="4"/>
        </w:numPr>
        <w:ind w:left="0" w:firstLine="420"/>
        <w:pageBreakBefore w:val="0"/>
        <w:spacing w:line="240" w:lineRule="auto"/>
        <w:tabs>
          <w:tab w:val="left" w:pos="0" w:leader="none"/>
          <w:tab w:val="left" w:pos="993" w:leader="none"/>
          <w:tab w:val="left" w:pos="1134" w:leader="none"/>
        </w:tabs>
        <w:rPr>
          <w:color w:val="auto"/>
          <w:highlight w:val="none"/>
        </w:rPr>
      </w:pPr>
      <w:r>
        <w:rPr>
          <w:rFonts w:hint="eastAsia"/>
          <w:color w:val="auto"/>
          <w:highlight w:val="none"/>
          <w:lang w:eastAsia="zh-CN"/>
        </w:rPr>
        <w:t xml:space="preserve">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采购人确认，管理费率、利润率按已标价工程量清单中最低费率报价项目的费率计取；对于工程量减少的过低价项目，按投标价执行。</w:t>
      </w:r>
      <w:r>
        <w:rPr>
          <w:color w:val="auto"/>
          <w:highlight w:val="none"/>
        </w:rPr>
      </w:r>
    </w:p>
    <w:p>
      <w:pPr>
        <w:pStyle w:val="712"/>
        <w:pageBreakBefore w:val="0"/>
        <w:spacing w:line="240" w:lineRule="auto"/>
        <w:widowControl/>
        <w:rPr>
          <w:b w:val="0"/>
          <w:color w:val="auto"/>
          <w:szCs w:val="21"/>
          <w:highlight w:val="none"/>
        </w:rPr>
      </w:pPr>
      <w:r>
        <w:rPr>
          <w:rFonts w:hint="eastAsia"/>
          <w:b w:val="0"/>
          <w:color w:val="auto"/>
          <w:szCs w:val="21"/>
          <w:highlight w:val="none"/>
          <w:lang w:eastAsia="zh-CN"/>
        </w:rPr>
        <w:t xml:space="preserve">2. 发包人</w:t>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138" w:name="_Toc12909"/>
      <w:r>
        <w:rPr>
          <w:color w:val="auto"/>
          <w:highlight w:val="none"/>
        </w:rPr>
      </w:r>
      <w:bookmarkStart w:id="139" w:name="_Toc30971"/>
      <w:r>
        <w:rPr>
          <w:rFonts w:hint="eastAsia"/>
          <w:color w:val="auto"/>
          <w:szCs w:val="21"/>
          <w:highlight w:val="none"/>
          <w:lang w:eastAsia="zh-CN"/>
        </w:rPr>
        <w:t xml:space="preserve">2.2 发包人代表</w:t>
      </w:r>
      <w:bookmarkEnd w:id="138"/>
      <w:r>
        <w:rPr>
          <w:color w:val="auto"/>
          <w:highlight w:val="none"/>
        </w:rPr>
      </w:r>
      <w:bookmarkEnd w:id="139"/>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发包人代表：</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姓    名：；</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身份证号：；</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职    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联系电话：；</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电子信箱：；</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通信地址：。</w:t>
      </w:r>
      <w:r>
        <w:rPr>
          <w:color w:val="auto"/>
          <w:highlight w:val="none"/>
        </w:rPr>
      </w:r>
    </w:p>
    <w:p>
      <w:pPr>
        <w:ind w:firstLine="420"/>
        <w:pageBreakBefore w:val="0"/>
        <w:spacing w:line="240" w:lineRule="auto"/>
        <w:rPr>
          <w:b/>
          <w:color w:val="auto"/>
          <w:sz w:val="24"/>
          <w:highlight w:val="none"/>
        </w:rPr>
      </w:pPr>
      <w:r>
        <w:rPr>
          <w:rFonts w:hint="eastAsia"/>
          <w:color w:val="auto"/>
          <w:szCs w:val="21"/>
          <w:highlight w:val="none"/>
          <w:lang w:eastAsia="zh-CN"/>
        </w:rPr>
        <w:t xml:space="preserve">发包人对发包人代表的授权范围如下：</w:t>
      </w:r>
      <w:r>
        <w:rPr>
          <w:rFonts w:hint="eastAsia"/>
          <w:color w:val="auto"/>
          <w:szCs w:val="21"/>
          <w:highlight w:val="none"/>
          <w:u w:val="single"/>
          <w:lang w:eastAsia="zh-CN"/>
        </w:rPr>
        <w:t xml:space="preserve">履行发包人在合同中的权利和义务，负责及时向承包人提供所需指令、批准（对工程进行全面监督、协调外部关系以保证工程顺利进行；检查、督促施工单位；组织协调施工现场与工程相关部门的工作，业主指令的下达、相关问题的处理）。A、在发包人的授权下，行使合同约定的发包人权利，履行合同约定的发包人职责。全面主持现场施工管理工作及施工现场的外部协调、检查监督。B、发包人代表签署并加盖发包人授权印鉴或相关条款约定的印鉴后方生效。C、发包人的指令、通知由发包人代表签字后，以书面形式交给</w:t>
      </w:r>
      <w:r>
        <w:rPr>
          <w:rFonts w:hint="eastAsia"/>
          <w:color w:val="auto"/>
          <w:szCs w:val="21"/>
          <w:highlight w:val="none"/>
          <w:u w:val="single"/>
          <w:lang w:val="en-US" w:eastAsia="zh-CN"/>
        </w:rPr>
        <w:t xml:space="preserve">发包人</w:t>
      </w:r>
      <w:r>
        <w:rPr>
          <w:rFonts w:hint="eastAsia"/>
          <w:color w:val="auto"/>
          <w:szCs w:val="21"/>
          <w:highlight w:val="none"/>
          <w:u w:val="single"/>
          <w:lang w:eastAsia="zh-CN"/>
        </w:rPr>
        <w:t xml:space="preserve">监督，承包人或承包人收文人在回执签署姓名和收到时间后生效。确有必要时，发包人代表或其授权人可发出口头指令，承包人对指令应予以执行。承包人应于发出口头指令后24 小时内提出书面确认要求，承包人未按时提出确认要求的，责任由承包人承担。D、承包人认为发包人的指令不合理，应在收到指令后 24 小时内提出书面申告</w:t>
      </w:r>
      <w:r>
        <w:rPr>
          <w:rFonts w:hint="eastAsia"/>
          <w:color w:val="auto"/>
          <w:szCs w:val="21"/>
          <w:highlight w:val="none"/>
          <w:u w:val="single"/>
          <w:lang w:eastAsia="zh-CN"/>
        </w:rPr>
        <w:t xml:space="preserve">，发包人代表可作出修改指令或继续执行原指令的决定，逾期视作认可。在紧急情况下，发包人要求承包人立即执行的指令，承包人应无条件予以执行，承包人拒不按时执行指令的，视同承包人违约，每拖延一天扣承包人 10000 元，情节严重的发包人有权解除合同或按合同有关约定追究承包人违约责任。E、承包人变更、进度、造价的审查、核定和调整等必须经过发包人代表签字盖章后确认，工程变更、签证按照合同约定相关条款执行。F、发包人代表易人，发包人应提前 7 天以书面形式通知承包人，后任继续行使合同文件约定的前任职权，履行前任的义务 。</w:t>
      </w:r>
      <w:r>
        <w:rPr>
          <w:color w:val="auto"/>
          <w:highlight w:val="none"/>
        </w:rPr>
      </w:r>
    </w:p>
    <w:p>
      <w:pPr>
        <w:ind w:firstLine="420"/>
        <w:pageBreakBefore w:val="0"/>
        <w:spacing w:line="240" w:lineRule="auto"/>
        <w:rPr>
          <w:color w:val="auto"/>
          <w:szCs w:val="21"/>
          <w:highlight w:val="none"/>
          <w:u w:val="single"/>
        </w:rPr>
      </w:pPr>
      <w:r>
        <w:rPr>
          <w:color w:val="auto"/>
          <w:szCs w:val="21"/>
          <w:highlight w:val="none"/>
          <w:u w:val="single"/>
          <w:lang w:eastAsia="zh-CN"/>
        </w:rPr>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140" w:name="_Toc29564"/>
      <w:r>
        <w:rPr>
          <w:color w:val="auto"/>
          <w:highlight w:val="none"/>
        </w:rPr>
      </w:r>
      <w:bookmarkStart w:id="141" w:name="_Toc2786"/>
      <w:r>
        <w:rPr>
          <w:rFonts w:hint="eastAsia"/>
          <w:color w:val="auto"/>
          <w:szCs w:val="21"/>
          <w:highlight w:val="none"/>
          <w:lang w:eastAsia="zh-CN"/>
        </w:rPr>
        <w:t xml:space="preserve">2.4 施工现场、施工条件和基础资料的提供</w:t>
      </w:r>
      <w:bookmarkEnd w:id="140"/>
      <w:r>
        <w:rPr>
          <w:color w:val="auto"/>
          <w:highlight w:val="none"/>
        </w:rPr>
      </w:r>
      <w:bookmarkEnd w:id="141"/>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2.4.1 提供施工现场</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关于发包人移交施工现场的期限要求：</w:t>
      </w:r>
      <w:r>
        <w:rPr>
          <w:rFonts w:hint="eastAsia"/>
          <w:color w:val="auto"/>
          <w:szCs w:val="21"/>
          <w:highlight w:val="none"/>
          <w:u w:val="single"/>
          <w:lang w:eastAsia="zh-CN"/>
        </w:rPr>
        <w:t xml:space="preserve"> 已具备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2.4.2 提供施工条件</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关于发包人应负责提供施工所需要的条件，包括：</w:t>
      </w:r>
      <w:r>
        <w:rPr>
          <w:rFonts w:hint="eastAsia"/>
          <w:color w:val="auto"/>
          <w:szCs w:val="21"/>
          <w:highlight w:val="none"/>
          <w:u w:val="single"/>
          <w:lang w:eastAsia="zh-CN"/>
        </w:rPr>
        <w:t xml:space="preserve">发包人提供水、电源接口，承包人将水、电接至施工场地，费用由承包人自理。由承包人自行接出装表计量。具体接口情况由承包人现场自行踏勘确认，水电接驳（包括计量）由承包人负责（负荷根据</w:t>
      </w:r>
      <w:r>
        <w:rPr>
          <w:rFonts w:hint="eastAsia"/>
          <w:color w:val="auto"/>
          <w:szCs w:val="21"/>
          <w:highlight w:val="none"/>
          <w:u w:val="single"/>
          <w:lang w:eastAsia="zh-CN"/>
        </w:rPr>
        <w:t xml:space="preserve">项目需求自行考虑），施工中机械设施、施工及生活用水用电费用等均由承包人承担。本工程处于市区地段，位置临街，临近周围建筑密集（含住宅），施工现场可供使用的区域有限，承包人应对本工程现场进行仔细踏勘，承包人在投标报价中应充分考虑本工程地质情况及周边邻近建筑物的影响，可能给本工程施工带来的难度和建筑工程施工成本增加的因素；承包人在本工程现场搭建临时设施（承包人、发包人现场办公用房）选址必须报发包人同意后自行建设（包括场地处理）。承包人所需的其他临时设施搭建（如工人宿舍、材料堆放、材料加工、材料二次转运、试验用房等</w:t>
      </w:r>
      <w:r>
        <w:rPr>
          <w:rFonts w:hint="eastAsia"/>
          <w:color w:val="auto"/>
          <w:szCs w:val="21"/>
          <w:highlight w:val="none"/>
          <w:u w:val="single"/>
          <w:lang w:eastAsia="zh-CN"/>
        </w:rPr>
        <w:t xml:space="preserve">），如本工程现场区域条件不允许搭设，承包人应自行考虑另行选址，但不得对本工程施工造成影响。本工程施工过程中可能存在的其他一切不确认因素（如工程现场施工材料堆放和加工）不得对本工程施工造成影响。上述费用包含在合同价款中，中标后不再调整。承包人应编制切实可行的施工方案和应急预案，工程施工不能对周边住宅建筑物及基础设施的质量造成影响，否则造成的一切经济损失责任均由承包人承担。通讯工具自备。承包人施工完毕后，对所破坏的市政公共设施修复原貌，若承包人无能力或未在规定的时间内修复，由发包人代为修复，费用由承包人承担 。</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142" w:name="_Toc32309"/>
      <w:r>
        <w:rPr>
          <w:color w:val="auto"/>
          <w:highlight w:val="none"/>
        </w:rPr>
      </w:r>
      <w:bookmarkStart w:id="143" w:name="_Toc10735"/>
      <w:r>
        <w:rPr>
          <w:rFonts w:hint="eastAsia"/>
          <w:color w:val="auto"/>
          <w:szCs w:val="21"/>
          <w:highlight w:val="none"/>
          <w:lang w:eastAsia="zh-CN"/>
        </w:rPr>
        <w:t xml:space="preserve">2.5 资金来源证明及支付担保</w:t>
      </w:r>
      <w:bookmarkEnd w:id="142"/>
      <w:r>
        <w:rPr>
          <w:color w:val="auto"/>
          <w:highlight w:val="none"/>
        </w:rPr>
      </w:r>
      <w:bookmarkEnd w:id="143"/>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发包人提供资金来源证明的期限要求：</w:t>
      </w:r>
      <w:r>
        <w:rPr>
          <w:rFonts w:hint="eastAsia"/>
          <w:color w:val="auto"/>
          <w:szCs w:val="21"/>
          <w:highlight w:val="none"/>
          <w:u w:val="single"/>
          <w:lang w:eastAsia="zh-CN"/>
        </w:rPr>
        <w:t xml:space="preserve">    无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发包人是否提供支付担保：</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发包人提供支付担保的形式：</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3. 承包人</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3.1 承包人的一般义务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（9）承包人提交的竣工资料的内容：</w:t>
      </w:r>
      <w:r>
        <w:rPr>
          <w:rFonts w:hint="eastAsia"/>
          <w:color w:val="auto"/>
          <w:szCs w:val="21"/>
          <w:highlight w:val="none"/>
          <w:u w:val="single"/>
          <w:lang w:eastAsia="zh-CN"/>
        </w:rPr>
        <w:t xml:space="preserve">竣工验收资料、竣工图、完整的竣工结算资料和竣工结算书等其他发包人要求提供的结算审计资料</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承包人需要提交的竣工资料套数：</w:t>
      </w:r>
      <w:r>
        <w:rPr>
          <w:rFonts w:hint="eastAsia"/>
          <w:color w:val="auto"/>
          <w:szCs w:val="21"/>
          <w:highlight w:val="none"/>
          <w:u w:val="single"/>
          <w:lang w:val="en-US" w:eastAsia="zh-CN"/>
        </w:rPr>
        <w:t xml:space="preserve">  </w:t>
      </w:r>
      <w:r>
        <w:rPr>
          <w:rFonts w:hint="eastAsia"/>
          <w:color w:val="auto"/>
          <w:szCs w:val="21"/>
          <w:highlight w:val="none"/>
          <w:u w:val="single"/>
          <w:lang w:eastAsia="zh-CN"/>
        </w:rPr>
        <w:t xml:space="preserve">伍套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承包人提交的竣工资料的费用承担：</w:t>
      </w:r>
      <w:r>
        <w:rPr>
          <w:rFonts w:hint="eastAsia"/>
          <w:color w:val="auto"/>
          <w:szCs w:val="21"/>
          <w:highlight w:val="none"/>
          <w:u w:val="single"/>
          <w:lang w:eastAsia="zh-CN"/>
        </w:rPr>
        <w:t xml:space="preserve">  由承包人承担    </w:t>
      </w:r>
      <w:r>
        <w:rPr>
          <w:rFonts w:hint="eastAsia"/>
          <w:color w:val="auto"/>
          <w:szCs w:val="21"/>
          <w:highlight w:val="none"/>
          <w:lang w:eastAsia="zh-CN"/>
        </w:rPr>
        <w:t xml:space="preserve">。</w:t>
      </w:r>
      <w:r>
        <w:rPr>
          <w:color w:val="auto"/>
          <w:highlight w:val="none"/>
        </w:rPr>
      </w:r>
    </w:p>
    <w:p>
      <w:pPr>
        <w:pStyle w:val="723"/>
        <w:ind w:firstLine="420"/>
        <w:pageBreakBefore w:val="0"/>
        <w:spacing w:line="240" w:lineRule="auto"/>
        <w:rPr>
          <w:color w:val="auto"/>
          <w:szCs w:val="21"/>
          <w:highlight w:val="none"/>
          <w:u w:val="single"/>
        </w:rPr>
      </w:pPr>
      <w:r>
        <w:rPr>
          <w:rFonts w:hint="eastAsia"/>
          <w:color w:val="auto"/>
          <w:szCs w:val="21"/>
          <w:highlight w:val="none"/>
          <w:lang w:eastAsia="zh-CN"/>
        </w:rPr>
        <w:t xml:space="preserve">承包人提交的竣工资料移交时间：</w:t>
      </w:r>
      <w:r>
        <w:rPr>
          <w:rFonts w:hint="eastAsia"/>
          <w:color w:val="auto"/>
          <w:szCs w:val="21"/>
          <w:highlight w:val="none"/>
          <w:u w:val="single"/>
          <w:lang w:eastAsia="zh-CN"/>
        </w:rPr>
        <w:t xml:space="preserve">工程竣工验收合格后一个月内提供符合城建档案馆和行政质检监督部门要求的叁套完整的</w:t>
      </w:r>
      <w:r>
        <w:rPr>
          <w:rFonts w:hint="eastAsia"/>
          <w:color w:val="auto"/>
          <w:szCs w:val="21"/>
          <w:highlight w:val="none"/>
          <w:u w:val="single"/>
          <w:lang w:eastAsia="zh-CN"/>
        </w:rPr>
        <w:t xml:space="preserve">竣工验收资料、竣工图、完整的竣工结算资料和竣工结算书，以及竣工图伍份及电子版图纸一份，包括竣工图纸、施工记录、材料、设备的出厂资料、试验（调试）报告、各种交接试验报告、设备试运行记录等其他资料，必须做到真实且符合国标和有关规范规定。当报送的资料不符合相关主管部门要求而重新报送或补送资料的，其资料报送有效时间为承包人最后一次报送时间。承包人提供的竣工资料及竣工图每拖延一天发包人将从承包人工程款中扣除1万元违约金，造成发包人管理费用的增加，应由承包人承担。发包人保留进一步向承包人索赔补偿损失不足部分的权利  。</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承包人提交的竣工资料形式要求：</w:t>
      </w:r>
      <w:r>
        <w:rPr>
          <w:rFonts w:hint="eastAsia"/>
          <w:color w:val="auto"/>
          <w:szCs w:val="21"/>
          <w:highlight w:val="none"/>
          <w:u w:val="single"/>
          <w:lang w:eastAsia="zh-CN"/>
        </w:rPr>
        <w:t xml:space="preserve">书面及电子文档（含图纸）承包人提交的竣工资料移交时间：竣工后 28 天内。</w:t>
      </w:r>
      <w:r>
        <w:rPr>
          <w:color w:val="auto"/>
          <w:highlight w:val="none"/>
        </w:rPr>
      </w:r>
    </w:p>
    <w:p>
      <w:pPr>
        <w:ind w:firstLine="420"/>
        <w:pageBreakBefore w:val="0"/>
        <w:spacing w:line="240" w:lineRule="auto"/>
        <w:tabs>
          <w:tab w:val="left" w:pos="6521" w:leader="none"/>
        </w:tabs>
        <w:rPr>
          <w:color w:val="auto"/>
          <w:szCs w:val="21"/>
          <w:highlight w:val="none"/>
          <w:u w:val="single"/>
        </w:rPr>
      </w:pPr>
      <w:r>
        <w:rPr>
          <w:rFonts w:hint="eastAsia"/>
          <w:color w:val="auto"/>
          <w:szCs w:val="21"/>
          <w:highlight w:val="none"/>
          <w:lang w:eastAsia="zh-CN"/>
        </w:rPr>
        <w:t xml:space="preserve">（10）承包人应履行的其他义务：</w:t>
      </w:r>
      <w:r>
        <w:rPr>
          <w:rFonts w:hint="eastAsia"/>
          <w:color w:val="auto"/>
          <w:szCs w:val="21"/>
          <w:highlight w:val="none"/>
          <w:u w:val="single"/>
          <w:lang w:eastAsia="zh-CN"/>
        </w:rPr>
        <w:t xml:space="preserve">A、进场后一周内提供材料计划，每月25日前向发包人提供详细的施工进度计划、每月28日前向发包人工程师提供到当月25日的已完工程量报表（含工</w:t>
      </w:r>
      <w:r>
        <w:rPr>
          <w:rFonts w:hint="eastAsia"/>
          <w:color w:val="auto"/>
          <w:szCs w:val="21"/>
          <w:highlight w:val="none"/>
          <w:u w:val="single"/>
          <w:lang w:eastAsia="zh-CN"/>
        </w:rPr>
        <w:t xml:space="preserve">程变更及签证预算）、乙购材料清单、材料进场计划、劳动力及用款计划等资料（总进度计划要以横道图和网络图两种形式提供）。B、承包人负责施工场地周围地下管线和邻近建筑物、构筑物（含文物保护建筑）、古树名木的保护。负责工地现场临时设施、道路、管线的施工和保养，采取措施避免工程施工对红线周围地下管线、邻近建筑物及市政设施造成破坏，如造成破坏，恢复原状，费用均由承包人负责。从发包人指定的水电接驳点接驳施工用水用电，采取措施保护邻近构筑物及建筑，对基坑外的地下所有管网、管线、排水、道路及邻近建筑物承包人负责观测，若发生问</w:t>
      </w:r>
      <w:r>
        <w:rPr>
          <w:rFonts w:hint="eastAsia"/>
          <w:color w:val="auto"/>
          <w:szCs w:val="21"/>
          <w:highlight w:val="none"/>
          <w:u w:val="single"/>
          <w:lang w:eastAsia="zh-CN"/>
        </w:rPr>
        <w:t xml:space="preserve">题承包人要采取补救措施，费用由承包人承担。承包人对于施工场地内的地下障碍物的清理及周围的地下管线的保护（除遇不可抗力因素），承包人已根据自身的施工技术能力并考虑其施工风险，将此费用考虑在投标报价中，此项费用在施工中不予调整，承包人有责任采取保护措施，否则承担造成的一切责任及相应费用。C、承包人在施工中的问题应以书面形式为准，而且必须提前三天发文给发包人，口头汇报不作依据。承包人发文应有标准固定格式，规范的文件编号，由项目负责人签署，发包人工程师签署后生效。D、承包人在投标时已充分考虑到任何情况影响承包价（如</w:t>
      </w:r>
      <w:r>
        <w:rPr>
          <w:rFonts w:hint="eastAsia"/>
          <w:color w:val="auto"/>
          <w:szCs w:val="21"/>
          <w:highlight w:val="none"/>
          <w:u w:val="single"/>
          <w:lang w:val="en-US" w:eastAsia="zh-CN"/>
        </w:rPr>
        <w:t xml:space="preserve">拆除部分设备管线</w:t>
      </w:r>
      <w:r>
        <w:rPr>
          <w:rFonts w:hint="eastAsia"/>
          <w:color w:val="auto"/>
          <w:szCs w:val="21"/>
          <w:highlight w:val="none"/>
          <w:u w:val="single"/>
          <w:lang w:eastAsia="zh-CN"/>
        </w:rPr>
        <w:t xml:space="preserve">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w:t>
      </w:r>
      <w:r>
        <w:rPr>
          <w:rFonts w:hint="eastAsia"/>
          <w:color w:val="auto"/>
          <w:szCs w:val="21"/>
          <w:highlight w:val="none"/>
          <w:u w:val="single"/>
          <w:lang w:val="en-US" w:eastAsia="zh-CN"/>
        </w:rPr>
        <w:t xml:space="preserve">方案</w:t>
      </w:r>
      <w:r>
        <w:rPr>
          <w:rFonts w:hint="eastAsia"/>
          <w:color w:val="auto"/>
          <w:szCs w:val="21"/>
          <w:highlight w:val="none"/>
          <w:u w:val="single"/>
          <w:lang w:eastAsia="zh-CN"/>
        </w:rPr>
        <w:t xml:space="preserve">进行变更，承包人应无条件给予配合执行，并在发包人规定的时间内完成，否则，每项逾期一天，承包人应向发包人支付人民币2000元违约金，并限时完成指令。未</w:t>
      </w:r>
      <w:r>
        <w:rPr>
          <w:rFonts w:hint="eastAsia"/>
          <w:color w:val="auto"/>
          <w:szCs w:val="21"/>
          <w:highlight w:val="none"/>
          <w:u w:val="single"/>
          <w:lang w:eastAsia="zh-CN"/>
        </w:rPr>
        <w:t xml:space="preserve">经发包人同意，承包人不得以任何名义作任何关于该项目的宣传报道，无论该报道是发布于施工现场或社会宣传媒体。但承包人必须积极配合发包人的相关宣传报道、形象展示行为。工程施工过程中以及工程竣工保修期内，由于承包人责任出现质量问题、安全事故或者其他原因，受到报纸、电视等媒体的曝光或政府有关主管部门的通报批评，均会给本工程的社会形象造成损失，每次由承包人向发包人支付5万元违约金，发包人无需征得承包人同意，直接从承包人工程进度款或保修款中扣除。F、承包人内部的劳资双方纠纷致使施工人员到发包人办公、生产场所聚众闹事、静坐</w:t>
      </w:r>
      <w:r>
        <w:rPr>
          <w:rFonts w:hint="eastAsia"/>
          <w:color w:val="auto"/>
          <w:szCs w:val="21"/>
          <w:highlight w:val="none"/>
          <w:u w:val="single"/>
          <w:lang w:eastAsia="zh-CN"/>
        </w:rPr>
        <w:t xml:space="preserve">等影响到发包人利益并造成损失或遭新闻媒体曝光，承包人承担由此产生的一切后果和费用，每次给予10000元罚款。G、承包人应遵守政府有关主管部门对施工场地及城市道路、周边建筑排污、渣土、环保（含施工噪音、施工粉尘）、环卫、市容、城建、治安、交管、创文、创卫、疫情防控、扬尘、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H、承包人已自行考虑施工组织设计中</w:t>
      </w:r>
      <w:r>
        <w:rPr>
          <w:rFonts w:hint="eastAsia"/>
          <w:color w:val="auto"/>
          <w:szCs w:val="21"/>
          <w:highlight w:val="none"/>
          <w:u w:val="single"/>
          <w:lang w:eastAsia="zh-CN"/>
        </w:rPr>
        <w:t xml:space="preserve">材料和构件的二次搬运、非发包人所为四小时内的临时停水停电、环保噪音扰民、连续降雨、严重冰冻、高（中）考、农忙、节假日、市内重大活动期间以及发包人需要的时间段内可能对施工作出某些限制和配合要求引起工效降低和民抚费用等；施工方案、施工工艺中的室内地面、内外墙的防裂抗裂措施、大跨度、高支模、地下室施工等各种施工组织、施工技术措施费及相应增加的费用、为确保发包人要求的质量、安全、工期发生的费用等等均计入投标报价。I、双方约定承包人应做的其他工作：①开工前发包人提供水、电接入点由承包人自行接入；②承包人有义务对本工程</w:t>
      </w:r>
      <w:r>
        <w:rPr>
          <w:rFonts w:hint="eastAsia"/>
          <w:color w:val="auto"/>
          <w:szCs w:val="21"/>
          <w:highlight w:val="none"/>
          <w:u w:val="single"/>
          <w:lang w:val="en-US" w:eastAsia="zh-CN"/>
        </w:rPr>
        <w:t xml:space="preserve">设计要求</w:t>
      </w:r>
      <w:r>
        <w:rPr>
          <w:rFonts w:hint="eastAsia"/>
          <w:color w:val="auto"/>
          <w:szCs w:val="21"/>
          <w:highlight w:val="none"/>
          <w:u w:val="single"/>
          <w:lang w:eastAsia="zh-CN"/>
        </w:rPr>
        <w:t xml:space="preserve">详细审阅，并提出合理化建议，确保施工期间尽量少发生拆除变更等浪费现象。③施工过程中与周</w:t>
      </w:r>
      <w:r>
        <w:rPr>
          <w:rFonts w:hint="eastAsia"/>
          <w:color w:val="auto"/>
          <w:szCs w:val="21"/>
          <w:highlight w:val="none"/>
          <w:u w:val="single"/>
          <w:lang w:eastAsia="zh-CN"/>
        </w:rPr>
        <w:t xml:space="preserve">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料归档、结算审计、结算备案的义务，及时处理好现场事务；b、准时参加</w:t>
      </w:r>
      <w:r>
        <w:rPr>
          <w:rFonts w:hint="eastAsia"/>
          <w:color w:val="auto"/>
          <w:szCs w:val="21"/>
          <w:highlight w:val="none"/>
          <w:u w:val="single"/>
          <w:lang w:val="en-US" w:eastAsia="zh-CN"/>
        </w:rPr>
        <w:t xml:space="preserve">发包人</w:t>
      </w:r>
      <w:r>
        <w:rPr>
          <w:rFonts w:hint="eastAsia"/>
          <w:color w:val="auto"/>
          <w:szCs w:val="21"/>
          <w:highlight w:val="none"/>
          <w:u w:val="single"/>
          <w:lang w:eastAsia="zh-CN"/>
        </w:rPr>
        <w:t xml:space="preserve">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w:t>
      </w:r>
      <w:r>
        <w:rPr>
          <w:rFonts w:hint="eastAsia"/>
          <w:color w:val="auto"/>
          <w:szCs w:val="21"/>
          <w:highlight w:val="none"/>
          <w:u w:val="single"/>
          <w:lang w:val="en-US" w:eastAsia="zh-CN"/>
        </w:rPr>
        <w:t xml:space="preserve">发包人</w:t>
      </w:r>
      <w:r>
        <w:rPr>
          <w:rFonts w:hint="eastAsia"/>
          <w:color w:val="auto"/>
          <w:szCs w:val="21"/>
          <w:highlight w:val="none"/>
          <w:u w:val="single"/>
          <w:lang w:eastAsia="zh-CN"/>
        </w:rPr>
        <w:t xml:space="preserve">提供有关人员上岗证、有关设备合格证年审证等</w:t>
      </w:r>
      <w:r>
        <w:rPr>
          <w:rFonts w:hint="eastAsia"/>
          <w:color w:val="auto"/>
          <w:szCs w:val="21"/>
          <w:highlight w:val="none"/>
          <w:u w:val="single"/>
          <w:lang w:eastAsia="zh-CN"/>
        </w:rPr>
        <w:t xml:space="preserve">证件。⑧承包人必须按本施工合同进行组织施工，接受发包人指令。承包人项目部以下管理人员在所辖工程或分项工程施工期间（包括准备和收尾阶段），均须专职在岗，不得兼任其他项目任何职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承包人以下人员，经发包人同意，必须在24小时内调离本工程范围，否则承包人支付每人次违约金2</w:t>
      </w:r>
      <w:r>
        <w:rPr>
          <w:rFonts w:hint="eastAsia"/>
          <w:color w:val="auto"/>
          <w:szCs w:val="21"/>
          <w:highlight w:val="none"/>
          <w:u w:val="single"/>
          <w:lang w:eastAsia="zh-CN"/>
        </w:rPr>
        <w:t xml:space="preserve">000元；同时，承包人应在7日内让合格的人员（发包人书面批准）代替上述调离的任何人员，否则每拖延1日承包人支付违约金1000元。a.发包人确认无法胜任工作者，包括：对分部分项工程施工进度及施工质量达不到合同要求负有责任的施工人员、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w:t>
      </w:r>
      <w:r>
        <w:rPr>
          <w:rFonts w:hint="eastAsia"/>
          <w:color w:val="auto"/>
          <w:szCs w:val="21"/>
          <w:highlight w:val="none"/>
          <w:u w:val="single"/>
          <w:lang w:val="en-US" w:eastAsia="zh-CN"/>
        </w:rPr>
        <w:t xml:space="preserve">关</w:t>
      </w:r>
      <w:r>
        <w:rPr>
          <w:rFonts w:hint="eastAsia"/>
          <w:color w:val="auto"/>
          <w:szCs w:val="21"/>
          <w:highlight w:val="none"/>
          <w:u w:val="single"/>
          <w:lang w:eastAsia="zh-CN"/>
        </w:rPr>
        <w:t xml:space="preserve">的人员；g.高空抛倒建筑垃圾者；h.围攻殴打发包人或监理单位工作人员； i.有偷盗行为及损害发包人财产的人员；j.扰乱发包人正常工作秩序的人员；k.其他发包人认为需要离开现场的人员。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3.2 项目经理</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3.2.1 项目经理：</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姓    名：；</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身份证号：；</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建造师执业资格等级：；</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建造师注册证书号：；</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安全生产考核合格证书号：；</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联系电话：；</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电子信箱：；</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通信地址：；</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承包人对项目经理的授权范围如下：</w:t>
      </w:r>
      <w:r>
        <w:rPr>
          <w:rFonts w:hint="eastAsia"/>
          <w:color w:val="auto"/>
          <w:szCs w:val="21"/>
          <w:highlight w:val="none"/>
          <w:u w:val="single"/>
          <w:lang w:eastAsia="zh-CN"/>
        </w:rPr>
        <w:t xml:space="preserve">（1）承包人委派项目经理，行使合同约定的承包人权利，履行合同约定的承包人职责。（2）负责与公司总部的信息沟通与协调。（3）项目资源的组织与调整（包括人力、物资、资金等）。（4）领导制定项目各项管理目标及保证措施，对实施过程进行监督。（5）是公司法人在项目上的授权代理，代表公司履行与业主及协作单位合同。（6）是本项目的成本、质量、安全、环保、职业安卫体系的第一责任人，对施工全过程和用户负责</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关于项目经理每月在施工现场的时间要求：</w:t>
      </w:r>
      <w:r>
        <w:rPr>
          <w:rFonts w:hint="eastAsia"/>
          <w:color w:val="auto"/>
          <w:szCs w:val="21"/>
          <w:highlight w:val="none"/>
          <w:u w:val="single"/>
          <w:lang w:eastAsia="zh-CN"/>
        </w:rPr>
        <w:t xml:space="preserve">项目经理在现场每日8小时以上，每周不少于5日，如有特殊情况，须提供书面请假经发包人书面同意</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承包人未提交劳动合同，以及没有为项目经理缴纳社会保险证明的违约责任：</w:t>
      </w:r>
      <w:r>
        <w:rPr>
          <w:rFonts w:hint="eastAsia"/>
          <w:color w:val="auto"/>
          <w:szCs w:val="21"/>
          <w:highlight w:val="none"/>
          <w:u w:val="single"/>
          <w:lang w:eastAsia="zh-CN"/>
        </w:rPr>
        <w:t xml:space="preserve">发包人扣除承包人的全部履约保证金，同时要求承包人更换项目经理，且更换后的项目经理资质等级、业绩不低于原项目经理，且征得发包人书面同意，否则解除施工合同，承</w:t>
      </w:r>
      <w:r>
        <w:rPr>
          <w:rFonts w:hint="eastAsia"/>
          <w:color w:val="auto"/>
          <w:highlight w:val="none"/>
          <w:u w:val="single"/>
          <w:lang w:eastAsia="zh-CN"/>
        </w:rPr>
        <w:t xml:space="preserve">包人承担一切经济责任和法律责任</w:t>
      </w:r>
      <w:r>
        <w:rPr>
          <w:rFonts w:hint="eastAsia"/>
          <w:color w:val="auto"/>
          <w:szCs w:val="21"/>
          <w:highlight w:val="none"/>
          <w:lang w:eastAsia="zh-CN"/>
        </w:rPr>
        <w:t xml:space="preserve">。</w:t>
      </w:r>
      <w:r>
        <w:rPr>
          <w:color w:val="auto"/>
          <w:highlight w:val="none"/>
        </w:rPr>
      </w:r>
    </w:p>
    <w:p>
      <w:pPr>
        <w:pStyle w:val="723"/>
        <w:ind w:firstLine="420"/>
        <w:pageBreakBefore w:val="0"/>
        <w:spacing w:line="240" w:lineRule="auto"/>
        <w:rPr>
          <w:color w:val="auto"/>
          <w:szCs w:val="21"/>
          <w:highlight w:val="none"/>
          <w:u w:val="single"/>
        </w:rPr>
      </w:pPr>
      <w:r>
        <w:rPr>
          <w:rFonts w:hint="eastAsia"/>
          <w:color w:val="auto"/>
          <w:szCs w:val="21"/>
          <w:highlight w:val="none"/>
          <w:lang w:eastAsia="zh-CN"/>
        </w:rPr>
        <w:t xml:space="preserve">项目经理未经批准，擅自离开施工现场的违约责任：</w:t>
      </w:r>
      <w:r>
        <w:rPr>
          <w:rFonts w:hint="eastAsia"/>
          <w:color w:val="auto"/>
          <w:szCs w:val="21"/>
          <w:highlight w:val="none"/>
          <w:u w:val="single"/>
          <w:lang w:eastAsia="zh-CN"/>
        </w:rPr>
        <w:t xml:space="preserve">若每月缺勤累计超过 7 天，发包人有权要求承包人于 7 天之内更换项目经理，并且承包人应按每一人次 50000 元向发包人支付违约金，且承包人新选任的项目经理仍须符合发包人的上述要求并经发包人书面同意；若承包人在 7 天之内未予更换的，则每逾期一天，承包人应向发包人支付违约金人民币 10000 元。上述违约金，发包人有权从工程款中予以直接扣除。</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3.2.3 承包人擅自更换项目经理的违约责任：</w:t>
      </w:r>
      <w:r>
        <w:rPr>
          <w:rFonts w:hint="eastAsia"/>
          <w:color w:val="auto"/>
          <w:szCs w:val="21"/>
          <w:highlight w:val="none"/>
          <w:u w:val="single"/>
          <w:lang w:eastAsia="zh-CN"/>
        </w:rPr>
        <w:t xml:space="preserve">投标书中的项目经理，在本合同履行期间，未经发包人书面同意不得擅自变更，否则扣除承包人的全部履约保证金并解除施工合同，并向发包人支付5万元的违约金，并追究由此给发包人造成的一切损失，由此引起的后果由承包人负全责。</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3.2.4 承包人无正当理由拒绝更换项目经理的违约责任：</w:t>
      </w:r>
      <w:r>
        <w:rPr>
          <w:rFonts w:hint="eastAsia"/>
          <w:color w:val="auto"/>
          <w:szCs w:val="21"/>
          <w:highlight w:val="none"/>
          <w:u w:val="single"/>
          <w:lang w:eastAsia="zh-CN"/>
        </w:rPr>
        <w:t xml:space="preserve">承包人如因工程进度、质量、安全、配合等问题或工作人员不能尽责，难以达成一致意见，对发包人的合理意见及保障措施拒不接受的，发包人有权要求承包人更换项目经理，承包人赔偿发包人因此所造成的全部损失并每次支付发包人违约金 10 万元。项目经理被发包人驱逐达三次，发包人有权与承包人解除合同，承包人赔偿发包人因此所造成的全部损失并支付发包人合同总价 2%的违约金。项目部其他人员因上述原因被驱逐或调职调岗者，承包人每一人次支付发包人人民币 2000 元违约金 。</w:t>
      </w:r>
      <w:r>
        <w:rPr>
          <w:color w:val="auto"/>
          <w:highlight w:val="none"/>
        </w:rPr>
      </w:r>
    </w:p>
    <w:p>
      <w:pPr>
        <w:ind w:firstLine="422"/>
        <w:pageBreakBefore w:val="0"/>
        <w:spacing w:line="240" w:lineRule="auto"/>
        <w:rPr>
          <w:b/>
          <w:color w:val="auto"/>
          <w:highlight w:val="none"/>
        </w:rPr>
      </w:pPr>
      <w:r>
        <w:rPr>
          <w:rFonts w:hint="eastAsia"/>
          <w:b/>
          <w:color w:val="auto"/>
          <w:szCs w:val="32"/>
          <w:highlight w:val="none"/>
          <w:lang w:eastAsia="zh-CN"/>
        </w:rPr>
        <w:t xml:space="preserve">3.3</w:t>
      </w:r>
      <w:r>
        <w:rPr>
          <w:rFonts w:hint="eastAsia"/>
          <w:b/>
          <w:color w:val="auto"/>
          <w:highlight w:val="none"/>
          <w:lang w:eastAsia="zh-CN"/>
        </w:rPr>
        <w:t xml:space="preserve">项目管理团队</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技术负责人：</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姓    名：；</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身份证号：；</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注册（执业）证书名称及号码：；</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联系电话：；</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施工员：</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姓    名：；</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身份证号：；</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施工员证书号：；</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联系电话：；</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质监员：</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姓    名：；</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身份证号：；</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质监员证书号：；</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联系电话：；</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安全员：</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姓    名：；</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身份证号：；</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安全员证书号：；</w:t>
      </w:r>
      <w:r>
        <w:rPr>
          <w:color w:val="auto"/>
          <w:highlight w:val="none"/>
        </w:rPr>
      </w:r>
    </w:p>
    <w:p>
      <w:pPr>
        <w:ind w:firstLine="420"/>
        <w:pageBreakBefore w:val="0"/>
        <w:spacing w:line="240" w:lineRule="auto"/>
        <w:rPr>
          <w:color w:val="auto"/>
          <w:szCs w:val="32"/>
          <w:highlight w:val="none"/>
        </w:rPr>
      </w:pPr>
      <w:r>
        <w:rPr>
          <w:rFonts w:hint="eastAsia"/>
          <w:color w:val="auto"/>
          <w:szCs w:val="32"/>
          <w:highlight w:val="none"/>
          <w:lang w:eastAsia="zh-CN"/>
        </w:rPr>
        <w:t xml:space="preserve">联系电话：；</w:t>
      </w:r>
      <w:r>
        <w:rPr>
          <w:color w:val="auto"/>
          <w:highlight w:val="none"/>
        </w:rPr>
      </w:r>
    </w:p>
    <w:p>
      <w:pPr>
        <w:ind w:firstLine="420"/>
        <w:pageBreakBefore w:val="0"/>
        <w:spacing w:after="120" w:line="240" w:lineRule="auto"/>
        <w:rPr>
          <w:color w:val="auto"/>
          <w:szCs w:val="32"/>
          <w:highlight w:val="none"/>
        </w:rPr>
      </w:pPr>
      <w:r>
        <w:rPr>
          <w:rFonts w:hint="eastAsia"/>
          <w:color w:val="auto"/>
          <w:szCs w:val="32"/>
          <w:highlight w:val="none"/>
          <w:lang w:eastAsia="zh-CN"/>
        </w:rPr>
        <w:t xml:space="preserve">其它；</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u w:val="single"/>
          <w:lang w:eastAsia="zh-CN"/>
        </w:rPr>
        <w:t xml:space="preserve">本工程投标主要技术管理人员承包人不得单方面更换，若出现更换情况发包人有权要求承包人改正，若承包人拒绝改正的，则发包人有权终止合同并责令承包人退场，并按2000元/天索赔（从违约之日至退场之日）</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3.3.1 承包人提交项目管理机构及施工现场管理人员安排报告的期限：</w:t>
      </w:r>
      <w:r>
        <w:rPr>
          <w:rFonts w:hint="eastAsia"/>
          <w:color w:val="auto"/>
          <w:szCs w:val="21"/>
          <w:highlight w:val="none"/>
          <w:u w:val="single"/>
          <w:lang w:eastAsia="zh-CN"/>
        </w:rPr>
        <w:t xml:space="preserve">接到开工令3天内</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3.3.3 承包人无正当理由拒绝撤换主要施工管理人员的违约责任：</w:t>
      </w:r>
      <w:r>
        <w:rPr>
          <w:rFonts w:hint="eastAsia"/>
          <w:color w:val="auto"/>
          <w:szCs w:val="21"/>
          <w:highlight w:val="none"/>
          <w:u w:val="single"/>
          <w:lang w:eastAsia="zh-CN"/>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扣除承包人的全部履约保证金并解除施工合同，追回已经支付的款项，承包人向发包人支付5万元的违约金。</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3.3.4 承包人主要施工管理人员离开施工现场的批准要求：</w:t>
      </w:r>
      <w:r>
        <w:rPr>
          <w:rFonts w:hint="eastAsia"/>
          <w:color w:val="auto"/>
          <w:szCs w:val="21"/>
          <w:highlight w:val="none"/>
          <w:u w:val="single"/>
          <w:lang w:eastAsia="zh-CN"/>
        </w:rPr>
        <w:t xml:space="preserve">应提前1天书面通知</w:t>
      </w:r>
      <w:r>
        <w:rPr>
          <w:rFonts w:hint="eastAsia"/>
          <w:color w:val="auto"/>
          <w:szCs w:val="21"/>
          <w:highlight w:val="none"/>
          <w:u w:val="single"/>
          <w:lang w:val="en-US" w:eastAsia="zh-CN"/>
        </w:rPr>
        <w:t xml:space="preserve">发包人</w:t>
      </w:r>
      <w:r>
        <w:rPr>
          <w:rFonts w:hint="eastAsia"/>
          <w:color w:val="auto"/>
          <w:szCs w:val="21"/>
          <w:highlight w:val="none"/>
          <w:u w:val="single"/>
          <w:lang w:eastAsia="zh-CN"/>
        </w:rPr>
        <w:t xml:space="preserve">，并征得发包人书面同意  </w:t>
      </w:r>
      <w:r>
        <w:rPr>
          <w:rFonts w:hint="eastAsia"/>
          <w:color w:val="auto"/>
          <w:szCs w:val="21"/>
          <w:highlight w:val="none"/>
          <w:lang w:eastAsia="zh-CN"/>
        </w:rPr>
        <w:t xml:space="preserve">。</w:t>
      </w:r>
      <w:r>
        <w:rPr>
          <w:color w:val="auto"/>
          <w:highlight w:val="none"/>
        </w:rPr>
      </w:r>
    </w:p>
    <w:p>
      <w:pPr>
        <w:pStyle w:val="723"/>
        <w:ind w:firstLine="420"/>
        <w:pageBreakBefore w:val="0"/>
        <w:spacing w:line="240" w:lineRule="auto"/>
        <w:rPr>
          <w:color w:val="auto"/>
          <w:szCs w:val="21"/>
          <w:highlight w:val="none"/>
          <w:u w:val="single"/>
        </w:rPr>
      </w:pPr>
      <w:r>
        <w:rPr>
          <w:rFonts w:hint="eastAsia"/>
          <w:color w:val="auto"/>
          <w:szCs w:val="21"/>
          <w:highlight w:val="none"/>
          <w:lang w:eastAsia="zh-CN"/>
        </w:rPr>
        <w:t xml:space="preserve">3.3.5承包人擅自更换主要施工管理人员的违约责任：</w:t>
      </w:r>
      <w:r>
        <w:rPr>
          <w:rFonts w:hint="eastAsia"/>
          <w:color w:val="auto"/>
          <w:szCs w:val="21"/>
          <w:highlight w:val="none"/>
          <w:u w:val="single"/>
          <w:lang w:eastAsia="zh-CN"/>
        </w:rPr>
        <w:t xml:space="preserve">若承包人擅自更换主要施工管理人员，发包人扣除承包人的</w:t>
      </w:r>
      <w:r>
        <w:rPr>
          <w:rFonts w:hint="eastAsia"/>
          <w:color w:val="auto"/>
          <w:szCs w:val="21"/>
          <w:highlight w:val="none"/>
          <w:u w:val="single"/>
          <w:lang w:val="en-US" w:eastAsia="zh-CN"/>
        </w:rPr>
        <w:t xml:space="preserve">1</w:t>
      </w:r>
      <w:r>
        <w:rPr>
          <w:rFonts w:hint="eastAsia"/>
          <w:color w:val="auto"/>
          <w:szCs w:val="21"/>
          <w:highlight w:val="none"/>
          <w:u w:val="single"/>
          <w:lang w:eastAsia="zh-CN"/>
        </w:rPr>
        <w:t xml:space="preserve">0%履约保证金，同时要求承包人更换后的主要施工管理人员资质等级、业绩不低于原主要施工管理人员，在本合同履行期间，未经发包人书面同意不得擅自变更，否则发包人有权解除合同，并追究由此给发包人造成的一切损失。</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承包人主要施工管理人员擅自离开施工现场的违约责任：</w:t>
      </w:r>
      <w:r>
        <w:rPr>
          <w:rFonts w:hint="eastAsia"/>
          <w:color w:val="auto"/>
          <w:szCs w:val="21"/>
          <w:highlight w:val="none"/>
          <w:u w:val="single"/>
          <w:lang w:eastAsia="zh-CN"/>
        </w:rPr>
        <w:t xml:space="preserve">承包人项目经理、项目技术负责人、安全负责人及发包人或监理单位临时指定的相关工程技术人员必须参加每</w:t>
      </w:r>
      <w:r>
        <w:rPr>
          <w:rFonts w:hint="eastAsia"/>
          <w:color w:val="auto"/>
          <w:szCs w:val="21"/>
          <w:highlight w:val="none"/>
          <w:u w:val="single"/>
          <w:lang w:eastAsia="zh-CN"/>
        </w:rPr>
        <w:t xml:space="preserve">周工作例会，因故不能参加的应提前 4 小时向发包人提出书面申请并在获得发包人批准后方可缺席，并同时指派相关的替代人员参加，否则视同承包人违约，承包人向发包人支付违约金 1000 元/人/次。承包人项目经理、技术负责人、安全负责人如离开工地，应向发包人代表请假并经书面同意，否则视同承包人违约，承包人向发包人支付违约金 3000 元/人.一次，若发生超过三次，发包人有权要求承包人更换相关人员，并承担由此给发包人造成的所有损失。承包人项目经理每日驻守工地少于 8小时的，承包人向发包人支付违约金 3000 元/次。</w:t>
      </w:r>
      <w:r>
        <w:rPr>
          <w:color w:val="auto"/>
          <w:highlight w:val="none"/>
        </w:rPr>
      </w:r>
    </w:p>
    <w:p>
      <w:pPr>
        <w:pStyle w:val="723"/>
        <w:ind w:firstLine="420"/>
        <w:pageBreakBefore w:val="0"/>
        <w:spacing w:line="240" w:lineRule="auto"/>
        <w:rPr>
          <w:color w:val="auto"/>
          <w:szCs w:val="21"/>
          <w:highlight w:val="none"/>
        </w:rPr>
      </w:pPr>
      <w:r>
        <w:rPr>
          <w:rFonts w:hint="eastAsia"/>
          <w:color w:val="auto"/>
          <w:szCs w:val="21"/>
          <w:highlight w:val="none"/>
          <w:lang w:eastAsia="zh-CN"/>
        </w:rPr>
        <w:t xml:space="preserve">3.3.6项目组人员按照江苏省建设工程施工项目经理部主要管理人员配备标准执行，本工程开工前承包人必须在施工现场安装生物识别网络管理系统，发包人依据合同约定条款对项目负责人等项目组成员加强履约管理。</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3.5 分包</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3.5.1 分包的一般约定</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禁止分包的工程包括：</w:t>
      </w:r>
      <w:r>
        <w:rPr>
          <w:rFonts w:hint="eastAsia"/>
          <w:color w:val="auto"/>
          <w:szCs w:val="21"/>
          <w:highlight w:val="none"/>
          <w:u w:val="single"/>
          <w:lang w:eastAsia="zh-CN"/>
        </w:rPr>
        <w:t xml:space="preserve">不允许分包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主体结构、关键性工作的范围：</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bookmarkStart w:id="144" w:name="_Toc297120461"/>
      <w:r>
        <w:rPr>
          <w:color w:val="auto"/>
          <w:highlight w:val="none"/>
        </w:rPr>
      </w:r>
      <w:bookmarkStart w:id="145" w:name="_Toc297216153"/>
      <w:r>
        <w:rPr>
          <w:color w:val="auto"/>
          <w:highlight w:val="none"/>
        </w:rPr>
      </w:r>
      <w:bookmarkStart w:id="146" w:name="_Toc297048347"/>
      <w:r>
        <w:rPr>
          <w:color w:val="auto"/>
          <w:highlight w:val="none"/>
        </w:rPr>
      </w:r>
      <w:bookmarkStart w:id="147" w:name="_Toc304295525"/>
      <w:r>
        <w:rPr>
          <w:color w:val="auto"/>
          <w:highlight w:val="none"/>
        </w:rPr>
      </w:r>
      <w:bookmarkStart w:id="148" w:name="_Toc303539104"/>
      <w:r>
        <w:rPr>
          <w:color w:val="auto"/>
          <w:highlight w:val="none"/>
        </w:rPr>
      </w:r>
      <w:bookmarkStart w:id="149" w:name="_Toc296944500"/>
      <w:r>
        <w:rPr>
          <w:color w:val="auto"/>
          <w:highlight w:val="none"/>
        </w:rPr>
      </w:r>
      <w:bookmarkStart w:id="150" w:name="_Toc296347160"/>
      <w:r>
        <w:rPr>
          <w:color w:val="auto"/>
          <w:highlight w:val="none"/>
        </w:rPr>
      </w:r>
      <w:bookmarkStart w:id="151" w:name="_Toc296890989"/>
      <w:r>
        <w:rPr>
          <w:color w:val="auto"/>
          <w:highlight w:val="none"/>
        </w:rPr>
      </w:r>
      <w:bookmarkStart w:id="152" w:name="_Toc297123494"/>
      <w:r>
        <w:rPr>
          <w:color w:val="auto"/>
          <w:highlight w:val="none"/>
        </w:rPr>
      </w:r>
      <w:bookmarkStart w:id="153" w:name="_Toc300934947"/>
      <w:r>
        <w:rPr>
          <w:color w:val="auto"/>
          <w:highlight w:val="none"/>
        </w:rPr>
      </w:r>
      <w:bookmarkStart w:id="154" w:name="_Toc296346662"/>
      <w:r>
        <w:rPr>
          <w:color w:val="auto"/>
          <w:highlight w:val="none"/>
        </w:rPr>
      </w:r>
      <w:bookmarkStart w:id="155" w:name="_Toc296503161"/>
      <w:r>
        <w:rPr>
          <w:color w:val="auto"/>
          <w:highlight w:val="none"/>
        </w:rPr>
      </w:r>
      <w:bookmarkStart w:id="156" w:name="_Toc296891201"/>
      <w:r>
        <w:rPr>
          <w:color w:val="auto"/>
          <w:highlight w:val="none"/>
        </w:rPr>
      </w:r>
      <w:bookmarkEnd w:id="144"/>
      <w:r>
        <w:rPr>
          <w:color w:val="auto"/>
        </w:rPr>
      </w:r>
      <w:bookmarkEnd w:id="145"/>
      <w:r>
        <w:rPr>
          <w:color w:val="auto"/>
        </w:rPr>
      </w:r>
      <w:bookmarkEnd w:id="146"/>
      <w:r>
        <w:rPr>
          <w:color w:val="auto"/>
        </w:rPr>
      </w:r>
      <w:bookmarkEnd w:id="147"/>
      <w:r>
        <w:rPr>
          <w:color w:val="auto"/>
        </w:rPr>
      </w:r>
      <w:bookmarkEnd w:id="148"/>
      <w:r>
        <w:rPr>
          <w:color w:val="auto"/>
        </w:rPr>
      </w:r>
      <w:bookmarkEnd w:id="149"/>
      <w:r>
        <w:rPr>
          <w:color w:val="auto"/>
        </w:rPr>
      </w:r>
      <w:bookmarkEnd w:id="150"/>
      <w:r>
        <w:rPr>
          <w:color w:val="auto"/>
        </w:rPr>
      </w:r>
      <w:bookmarkEnd w:id="151"/>
      <w:r>
        <w:rPr>
          <w:color w:val="auto"/>
        </w:rPr>
      </w:r>
      <w:bookmarkEnd w:id="152"/>
      <w:r>
        <w:rPr>
          <w:color w:val="auto"/>
        </w:rPr>
      </w:r>
      <w:bookmarkEnd w:id="153"/>
      <w:r>
        <w:rPr>
          <w:color w:val="auto"/>
        </w:rPr>
      </w:r>
      <w:bookmarkEnd w:id="154"/>
      <w:r>
        <w:rPr>
          <w:color w:val="auto"/>
        </w:rPr>
      </w:r>
      <w:bookmarkEnd w:id="155"/>
      <w:r>
        <w:rPr>
          <w:color w:val="auto"/>
        </w:rPr>
      </w:r>
      <w:bookmarkEnd w:id="156"/>
      <w:r>
        <w:rPr>
          <w:color w:val="auto"/>
        </w:rPr>
      </w:r>
      <w:r>
        <w:rPr>
          <w:color w:val="auto"/>
          <w:highlight w:val="none"/>
        </w:rPr>
      </w:r>
    </w:p>
    <w:p>
      <w:pPr>
        <w:pageBreakBefore w:val="0"/>
        <w:spacing w:line="240" w:lineRule="auto"/>
        <w:rPr>
          <w:color w:val="auto"/>
          <w:szCs w:val="21"/>
          <w:highlight w:val="none"/>
        </w:rPr>
      </w:pPr>
      <w:r>
        <w:rPr>
          <w:rFonts w:hint="eastAsia"/>
          <w:color w:val="auto"/>
          <w:szCs w:val="21"/>
          <w:highlight w:val="none"/>
          <w:lang w:eastAsia="zh-CN"/>
        </w:rPr>
        <w:t xml:space="preserve">    3.5.2分包的确定</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允许分包的专业工程包括：</w:t>
      </w:r>
      <w:r>
        <w:rPr>
          <w:rFonts w:hint="eastAsia"/>
          <w:color w:val="auto"/>
          <w:szCs w:val="21"/>
          <w:highlight w:val="none"/>
          <w:u w:val="single"/>
          <w:lang w:eastAsia="zh-CN"/>
        </w:rPr>
        <w:t xml:space="preserve">发包人有权决定分包内容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其他关于分包的约定：</w:t>
      </w:r>
      <w:r>
        <w:rPr>
          <w:rFonts w:hint="eastAsia"/>
          <w:color w:val="auto"/>
          <w:szCs w:val="21"/>
          <w:highlight w:val="none"/>
          <w:u w:val="single"/>
          <w:lang w:eastAsia="zh-CN"/>
        </w:rPr>
        <w:t xml:space="preserve">发包人不允许承包人将工程转包和分包给任何第三方。一旦发现有分包行为，承包人不仅要收回分包工程，而且要承担违约责任并且发包人扣除承包人的</w:t>
      </w:r>
      <w:r>
        <w:rPr>
          <w:rFonts w:hint="eastAsia"/>
          <w:color w:val="auto"/>
          <w:szCs w:val="21"/>
          <w:highlight w:val="none"/>
          <w:u w:val="single"/>
          <w:lang w:val="en-US" w:eastAsia="zh-CN"/>
        </w:rPr>
        <w:t xml:space="preserve">1</w:t>
      </w:r>
      <w:r>
        <w:rPr>
          <w:rFonts w:hint="eastAsia"/>
          <w:color w:val="auto"/>
          <w:szCs w:val="21"/>
          <w:highlight w:val="none"/>
          <w:u w:val="single"/>
          <w:lang w:eastAsia="zh-CN"/>
        </w:rPr>
        <w:t xml:space="preserve">0%履约保证金，同时发包人扣留分包工程合同价款的50%作为质量保证金，待保修期满后结清。如发现转包行为，限期改正，否则发包人有权终止合同，承包人并承担违约责任</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3.5.4 分包合同价款</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关于分包合同价款支付的约定：</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3.6 工程照管与成品、半成品保护</w:t>
      </w:r>
      <w:r>
        <w:rPr>
          <w:color w:val="auto"/>
          <w:highlight w:val="none"/>
        </w:rPr>
      </w:r>
    </w:p>
    <w:p>
      <w:pPr>
        <w:ind w:firstLine="420"/>
        <w:pageBreakBefore w:val="0"/>
        <w:spacing w:before="120" w:after="120" w:line="240" w:lineRule="auto"/>
        <w:rPr>
          <w:color w:val="auto"/>
          <w:szCs w:val="21"/>
          <w:highlight w:val="none"/>
          <w:u w:val="single"/>
        </w:rPr>
      </w:pPr>
      <w:r>
        <w:rPr>
          <w:rFonts w:hint="eastAsia"/>
          <w:color w:val="auto"/>
          <w:szCs w:val="21"/>
          <w:highlight w:val="none"/>
          <w:lang w:eastAsia="zh-CN"/>
        </w:rPr>
        <w:t xml:space="preserve">承包人负责照管工程及工程相关的材料、工程设备的起始时间：</w:t>
      </w:r>
      <w:r>
        <w:rPr>
          <w:rFonts w:hint="eastAsia"/>
          <w:color w:val="auto"/>
          <w:szCs w:val="21"/>
          <w:highlight w:val="none"/>
          <w:u w:val="single"/>
          <w:lang w:eastAsia="zh-CN"/>
        </w:rPr>
        <w:t xml:space="preserve"> 自发包人向承包人移交施工现场之日起，承包人应负责照管工程及工程相关的材料、工程设备，直到颁发工程接收证书之日止。工程交付前成品保护由承包人负责，费用由承包人承担。已竣工工程未交付发包人之前，承包人负责已完工程的保护工作，承担毁损、火灾、丢失的风险，保护期间发生损坏、失窃，承包人自费予以修复；发包人要求承包人采取特殊措施保护的工程部位应相应的追加合同价款；已竣工工程未交付使用前，承包人应负责已完工程的成品保护工作</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3.7 履约担保</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承包人是否提供履约担保：</w:t>
      </w:r>
      <w:r>
        <w:rPr>
          <w:rFonts w:hint="eastAsia"/>
          <w:color w:val="auto"/>
          <w:szCs w:val="21"/>
          <w:highlight w:val="none"/>
          <w:u w:val="single"/>
          <w:lang w:eastAsia="zh-CN"/>
        </w:rPr>
        <w:t xml:space="preserve"> 提供履约保证金  </w:t>
      </w:r>
      <w:r>
        <w:rPr>
          <w:rFonts w:hint="eastAsia"/>
          <w:color w:val="auto"/>
          <w:szCs w:val="21"/>
          <w:highlight w:val="none"/>
          <w:lang w:eastAsia="zh-CN"/>
        </w:rPr>
        <w:t xml:space="preserve">。</w:t>
      </w:r>
      <w:r>
        <w:rPr>
          <w:color w:val="auto"/>
          <w:highlight w:val="none"/>
        </w:rPr>
      </w:r>
    </w:p>
    <w:p>
      <w:pPr>
        <w:ind w:firstLine="420"/>
        <w:pageBreakBefore w:val="0"/>
        <w:spacing w:line="240" w:lineRule="auto"/>
        <w:rPr>
          <w:b/>
          <w:color w:val="auto"/>
          <w:szCs w:val="21"/>
          <w:highlight w:val="none"/>
          <w:u w:val="single"/>
        </w:rPr>
      </w:pPr>
      <w:r>
        <w:rPr>
          <w:rFonts w:hint="eastAsia"/>
          <w:color w:val="auto"/>
          <w:szCs w:val="21"/>
          <w:highlight w:val="none"/>
          <w:lang w:eastAsia="zh-CN"/>
        </w:rPr>
        <w:t xml:space="preserve">承包人提供履约担保的形式、金额及期限的：</w:t>
      </w:r>
      <w:r>
        <w:rPr>
          <w:rFonts w:hint="eastAsia"/>
          <w:b/>
          <w:bCs/>
          <w:color w:val="auto"/>
          <w:szCs w:val="21"/>
          <w:highlight w:val="none"/>
          <w:u w:val="single"/>
          <w:lang w:eastAsia="zh-CN"/>
        </w:rPr>
        <w:t xml:space="preserve">履约</w:t>
      </w:r>
      <w:r>
        <w:rPr>
          <w:rFonts w:hint="eastAsia"/>
          <w:b/>
          <w:color w:val="auto"/>
          <w:szCs w:val="21"/>
          <w:highlight w:val="none"/>
          <w:u w:val="single"/>
          <w:lang w:eastAsia="zh-CN"/>
        </w:rPr>
        <w:t xml:space="preserve">保证金可采用银行履约保函或者第三方担保的方式，但不得采用相互提交现金、支票、汇票等相互抵充的方式，承包人应在中标通知书发出后7日内向发包人指定账户提交中标价的10%履约保证金，否则视为承包人自动放弃中标资格，承包人承担一切经济责任和法律责任并赔偿发包人一切损失。</w:t>
      </w:r>
      <w:r>
        <w:rPr>
          <w:color w:val="auto"/>
          <w:highlight w:val="none"/>
        </w:rPr>
      </w:r>
    </w:p>
    <w:p>
      <w:pPr>
        <w:ind w:firstLine="422"/>
        <w:pageBreakBefore w:val="0"/>
        <w:spacing w:line="240" w:lineRule="auto"/>
        <w:rPr>
          <w:b/>
          <w:color w:val="auto"/>
          <w:szCs w:val="21"/>
          <w:highlight w:val="none"/>
          <w:u w:val="single"/>
        </w:rPr>
      </w:pPr>
      <w:r>
        <w:rPr>
          <w:rFonts w:hint="eastAsia"/>
          <w:b/>
          <w:color w:val="auto"/>
          <w:szCs w:val="21"/>
          <w:highlight w:val="none"/>
          <w:u w:val="single"/>
          <w:lang w:eastAsia="zh-CN"/>
        </w:rPr>
        <w:t xml:space="preserve">履约保证金待工程经竣工验收合格后且无任何违约事件、无任何质量事件30天内退还（无息）。</w:t>
      </w:r>
      <w:r>
        <w:rPr>
          <w:color w:val="auto"/>
          <w:highlight w:val="none"/>
        </w:rPr>
      </w:r>
    </w:p>
    <w:p>
      <w:pPr>
        <w:pStyle w:val="712"/>
        <w:pageBreakBefore w:val="0"/>
        <w:spacing w:line="240" w:lineRule="auto"/>
        <w:widowControl/>
        <w:rPr>
          <w:b w:val="0"/>
          <w:color w:val="auto"/>
          <w:szCs w:val="21"/>
          <w:highlight w:val="none"/>
        </w:rPr>
      </w:pPr>
      <w:r>
        <w:rPr>
          <w:rFonts w:hint="eastAsia"/>
          <w:b w:val="0"/>
          <w:color w:val="auto"/>
          <w:szCs w:val="21"/>
          <w:highlight w:val="none"/>
          <w:lang w:eastAsia="zh-CN"/>
        </w:rPr>
        <w:t xml:space="preserve">4. 监理人</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4.1监理人的一般规定</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关于监理人的监理内容：</w:t>
      </w:r>
      <w:r>
        <w:rPr>
          <w:rFonts w:hint="eastAsia"/>
          <w:color w:val="auto"/>
          <w:szCs w:val="21"/>
          <w:highlight w:val="none"/>
          <w:u w:val="single"/>
          <w:lang w:eastAsia="zh-CN"/>
        </w:rPr>
        <w:t xml:space="preserve">      详见监理合同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关于监理人的监理权限：</w:t>
      </w:r>
      <w:r>
        <w:rPr>
          <w:rFonts w:hint="eastAsia"/>
          <w:color w:val="auto"/>
          <w:szCs w:val="21"/>
          <w:highlight w:val="none"/>
          <w:u w:val="single"/>
          <w:lang w:eastAsia="zh-CN"/>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rPr>
          <w:rFonts w:hint="eastAsia"/>
          <w:color w:val="auto"/>
          <w:szCs w:val="21"/>
          <w:highlight w:val="none"/>
          <w:lang w:eastAsia="zh-CN"/>
        </w:rPr>
        <w:t xml:space="preserve">。 </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关于监理人在施工现场的办公场所、生活场所的提供和费用承担的约定：</w:t>
      </w:r>
      <w:r>
        <w:rPr>
          <w:rFonts w:hint="eastAsia"/>
          <w:color w:val="auto"/>
          <w:szCs w:val="21"/>
          <w:highlight w:val="none"/>
          <w:u w:val="single"/>
          <w:lang w:eastAsia="zh-CN"/>
        </w:rPr>
        <w:t xml:space="preserve">  提供办公场所、办公桌椅，其余自理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4.2 监理人员</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总监理工程师：</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姓    名：；</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职    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监理工程师执业资格证书号：；</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联系电话：；</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电子信箱：；</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通信地址：；</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关于监理人的其他约定：。</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4.4 商定或确定</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在发包人和承包人不能通过协商达成一致意见时，发包人授权监理人对以下事项进行确定：</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5. 工程质量</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157" w:name="_Toc31842"/>
      <w:r>
        <w:rPr>
          <w:color w:val="auto"/>
          <w:highlight w:val="none"/>
        </w:rPr>
      </w:r>
      <w:bookmarkStart w:id="158" w:name="_Toc16156"/>
      <w:r>
        <w:rPr>
          <w:rFonts w:hint="eastAsia"/>
          <w:color w:val="auto"/>
          <w:szCs w:val="21"/>
          <w:highlight w:val="none"/>
          <w:lang w:eastAsia="zh-CN"/>
        </w:rPr>
        <w:t xml:space="preserve">5.1 质量要求</w:t>
      </w:r>
      <w:bookmarkEnd w:id="157"/>
      <w:r>
        <w:rPr>
          <w:color w:val="auto"/>
          <w:highlight w:val="none"/>
        </w:rPr>
      </w:r>
      <w:bookmarkEnd w:id="158"/>
      <w:r>
        <w:rPr>
          <w:color w:val="auto"/>
          <w:highlight w:val="none"/>
        </w:rPr>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5.1.1 特殊质量标准和要求：</w:t>
      </w:r>
      <w:r>
        <w:rPr>
          <w:rFonts w:hint="eastAsia"/>
          <w:color w:val="auto"/>
          <w:szCs w:val="21"/>
          <w:highlight w:val="none"/>
          <w:u w:val="single"/>
          <w:lang w:eastAsia="zh-CN"/>
        </w:rPr>
        <w:t xml:space="preserve">工程质量必须达到合格标准等级</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关于工程奖项的约定：</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159" w:name="_Toc14577"/>
      <w:r>
        <w:rPr>
          <w:color w:val="auto"/>
          <w:highlight w:val="none"/>
        </w:rPr>
      </w:r>
      <w:bookmarkStart w:id="160" w:name="_Toc11410"/>
      <w:r>
        <w:rPr>
          <w:rFonts w:hint="eastAsia"/>
          <w:color w:val="auto"/>
          <w:szCs w:val="21"/>
          <w:highlight w:val="none"/>
          <w:lang w:eastAsia="zh-CN"/>
        </w:rPr>
        <w:t xml:space="preserve">5.3 隐蔽工程检查</w:t>
      </w:r>
      <w:bookmarkEnd w:id="159"/>
      <w:r>
        <w:rPr>
          <w:color w:val="auto"/>
          <w:highlight w:val="none"/>
        </w:rPr>
      </w:r>
      <w:bookmarkEnd w:id="160"/>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5.3.2承包人提前通知监理人隐蔽工程检查的期限的约定：</w:t>
      </w:r>
      <w:r>
        <w:rPr>
          <w:rFonts w:hint="eastAsia"/>
          <w:color w:val="auto"/>
          <w:szCs w:val="21"/>
          <w:highlight w:val="none"/>
          <w:u w:val="single"/>
          <w:lang w:eastAsia="zh-CN"/>
        </w:rPr>
        <w:t xml:space="preserve">工程具备隐蔽条件或达到专用条款约定的中间验收部位，承包人进行自检，并在共同验收前48小时以书面形式通知</w:t>
      </w:r>
      <w:r>
        <w:rPr>
          <w:rFonts w:hint="eastAsia"/>
          <w:color w:val="auto"/>
          <w:szCs w:val="21"/>
          <w:highlight w:val="none"/>
          <w:u w:val="single"/>
          <w:lang w:val="en-US" w:eastAsia="zh-CN"/>
        </w:rPr>
        <w:t xml:space="preserve">发包</w:t>
      </w:r>
      <w:r>
        <w:rPr>
          <w:rFonts w:hint="eastAsia"/>
          <w:color w:val="auto"/>
          <w:szCs w:val="21"/>
          <w:highlight w:val="none"/>
          <w:u w:val="single"/>
          <w:lang w:eastAsia="zh-CN"/>
        </w:rPr>
        <w:t xml:space="preserve">人检查，通知中应载明包括隐蔽检查的内容、时间和地点，并附有自检记录和必要的检查资料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监理人不能按时进行检查时，应提前</w:t>
      </w:r>
      <w:r>
        <w:rPr>
          <w:rFonts w:hint="eastAsia"/>
          <w:color w:val="auto"/>
          <w:szCs w:val="21"/>
          <w:highlight w:val="none"/>
          <w:u w:val="single"/>
          <w:lang w:eastAsia="zh-CN"/>
        </w:rPr>
        <w:t xml:space="preserve">  24 </w:t>
      </w:r>
      <w:r>
        <w:rPr>
          <w:rFonts w:hint="eastAsia"/>
          <w:color w:val="auto"/>
          <w:szCs w:val="21"/>
          <w:highlight w:val="none"/>
          <w:lang w:eastAsia="zh-CN"/>
        </w:rPr>
        <w:t xml:space="preserve">小时提交书面延期要求。</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关于延期最长不得超过：</w:t>
      </w:r>
      <w:r>
        <w:rPr>
          <w:rFonts w:hint="eastAsia"/>
          <w:color w:val="auto"/>
          <w:szCs w:val="21"/>
          <w:highlight w:val="none"/>
          <w:u w:val="single"/>
          <w:lang w:eastAsia="zh-CN"/>
        </w:rPr>
        <w:t xml:space="preserve">   48  </w:t>
      </w:r>
      <w:r>
        <w:rPr>
          <w:rFonts w:hint="eastAsia"/>
          <w:color w:val="auto"/>
          <w:szCs w:val="21"/>
          <w:highlight w:val="none"/>
          <w:lang w:eastAsia="zh-CN"/>
        </w:rPr>
        <w:t xml:space="preserve">小时。</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5.3.3补充条款：</w:t>
      </w:r>
      <w:r>
        <w:rPr>
          <w:rFonts w:hint="eastAsia"/>
          <w:color w:val="auto"/>
          <w:szCs w:val="21"/>
          <w:highlight w:val="none"/>
          <w:u w:val="single"/>
          <w:lang w:eastAsia="zh-CN"/>
        </w:rPr>
        <w:t xml:space="preserve">A、本合同规定由承包人总承包范围及结算范围内的各分部分项工程，按设计</w:t>
      </w:r>
      <w:r>
        <w:rPr>
          <w:rFonts w:hint="eastAsia"/>
          <w:color w:val="auto"/>
          <w:szCs w:val="21"/>
          <w:highlight w:val="none"/>
          <w:u w:val="single"/>
          <w:lang w:val="en-US" w:eastAsia="zh-CN"/>
        </w:rPr>
        <w:t xml:space="preserve">方案</w:t>
      </w:r>
      <w:r>
        <w:rPr>
          <w:rFonts w:hint="eastAsia"/>
          <w:color w:val="auto"/>
          <w:szCs w:val="21"/>
          <w:highlight w:val="none"/>
          <w:u w:val="single"/>
          <w:lang w:eastAsia="zh-CN"/>
        </w:rPr>
        <w:t xml:space="preserve">、设计变更、规范规程、验收标准，以及地方的有关规定、发包人要求进行施工和验收，工程质量必须达到合同约定标准，当各个标准有不一致之处，以发包人选定的较高标准为准。如该操作</w:t>
      </w:r>
      <w:r>
        <w:rPr>
          <w:rFonts w:hint="eastAsia"/>
          <w:color w:val="auto"/>
          <w:szCs w:val="21"/>
          <w:highlight w:val="none"/>
          <w:u w:val="single"/>
          <w:lang w:eastAsia="zh-CN"/>
        </w:rPr>
        <w:t xml:space="preserve">细则与发包人现场要求不一致，以发包人现场合理指令为准。放线验线、隐蔽工程等关键工序，发包人可请权威机构或部门进行复核或检验，复核或检验合格则发包人承担相应费用；如不合格，承包人承担相应费用及造成的一切损失。B、竣工验收不合格，承包人必须返工至合格。分部分项工程或单体验收不合格，承包人必须返工至合格。达不到合格工程质量标准，承包人负责返工直至达到标准，发包人按合同总价的2%向承包人收取违约金，承包人承担使工程达到约定质量标准所发生的费用。C、承包人须做好施工记录，隐蔽工程记录，汇集施工技术资料，包括影像资料。</w:t>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6. 安全文明施工与环境保护</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6.1安全文明施工</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6.1.1 项目安全生产的达标目标及相应事项的约定：</w:t>
      </w:r>
      <w:r>
        <w:rPr>
          <w:rFonts w:hint="eastAsia"/>
          <w:color w:val="auto"/>
          <w:szCs w:val="21"/>
          <w:highlight w:val="none"/>
          <w:u w:val="single"/>
          <w:lang w:eastAsia="zh-CN"/>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施工现场发生的安全事故均由承包人承担全部责任，与发包人无关 。承包人应配合相邻标段共同做好现场有组织排水、排污工作，不得因此影响施工进度</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6.1.4 关于治安保卫的特别约定：</w:t>
      </w:r>
      <w:r>
        <w:rPr>
          <w:rFonts w:hint="eastAsia"/>
          <w:color w:val="auto"/>
          <w:szCs w:val="21"/>
          <w:highlight w:val="none"/>
          <w:u w:val="single"/>
          <w:lang w:eastAsia="zh-CN"/>
        </w:rPr>
        <w:t xml:space="preserve">A、按照国</w:t>
      </w:r>
      <w:r>
        <w:rPr>
          <w:rFonts w:hint="eastAsia"/>
          <w:color w:val="auto"/>
          <w:szCs w:val="21"/>
          <w:highlight w:val="none"/>
          <w:u w:val="single"/>
          <w:lang w:eastAsia="zh-CN"/>
        </w:rPr>
        <w:t xml:space="preserve">家、江苏省及连云港市有关规定及施工现场实际情况由承包人负责施工现场的施工安全保卫工作及非夜间照明，费用由承包人自理。B、承包人根据工程需要，提供和维修施工使用的照明、围栏设施，并负责安全保卫及承担因此而产生的一切费用。承包人在签订合同之前已查看了工地及周围的环境，掌握了所有与工程施工有关或对施工有影响的情况，如地理地质、水源、当地气候情况、道路、交通、劳动力的提供范围和周围居民和建筑物等。发包人将施工场地移交给承包人后，若发生非不可抗力或非发包人指令原因而影响施工导致工期拖延及财产损失，由承包人承担一切责任</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关于编制施工场地治安管理计划的约定：</w:t>
      </w:r>
      <w:r>
        <w:rPr>
          <w:rFonts w:hint="eastAsia"/>
          <w:color w:val="auto"/>
          <w:szCs w:val="21"/>
          <w:highlight w:val="none"/>
          <w:u w:val="single"/>
          <w:lang w:eastAsia="zh-CN"/>
        </w:rPr>
        <w:t xml:space="preserve">由发包人和承包人共同编制</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6.1.5 文明施工</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合同当事人对文明施工的要求：</w:t>
      </w:r>
      <w:r>
        <w:rPr>
          <w:rFonts w:hint="eastAsia"/>
          <w:color w:val="auto"/>
          <w:szCs w:val="21"/>
          <w:highlight w:val="none"/>
          <w:u w:val="single"/>
          <w:lang w:eastAsia="zh-CN"/>
        </w:rPr>
        <w:t xml:space="preserve">A、承包人保证遵守政府主管部门对施工场地交通、施工噪音以及和安全生产有关的管理规定，按规定办理有关手续，并以书面形式告知发包人，以上费用由承包人承担。承包人承担未尽遵守责任造成的罚款，并赔偿因此而给发包人带来的损失。承包人保证严格遵守有关环境保护法律法规，并严格按照环境检查审核要求，加强施工现场的环境管理，在施工过程中严格落实粉尘、废水等污染防治措施及</w:t>
      </w:r>
      <w:r>
        <w:rPr>
          <w:rFonts w:hint="eastAsia"/>
          <w:color w:val="auto"/>
          <w:szCs w:val="21"/>
          <w:highlight w:val="none"/>
          <w:u w:val="single"/>
          <w:lang w:eastAsia="zh-CN"/>
        </w:rPr>
        <w:t xml:space="preserve">生态保护、水土保持措施，由此发生的费用及罚款由承包人负责。B、施工过程所需一切证件（包括夜间施工许可）由承包人及时自行办理。如发生扰民和民扰自行妥善处理并承担相关费用。C、承包人须考虑污水排放，排至发包人指定位置。保证施工现场清洁卫生符合有关规定，达到文明工地要求，费用已包括在承包人投标报价内。承包人在施工过程中做到工完场清。工程竣工后7天内清理现场，并将门窗、地面、墙面等擦拭干净，所有现场临时设施必须在7天内拆除完毕并使场地恢复清洁，所发生的拆除费用由承包人自行承担。D、施工过程中因工程需要发包人临时指令</w:t>
      </w:r>
      <w:r>
        <w:rPr>
          <w:rFonts w:hint="eastAsia"/>
          <w:color w:val="auto"/>
          <w:szCs w:val="21"/>
          <w:highlight w:val="none"/>
          <w:u w:val="single"/>
          <w:lang w:eastAsia="zh-CN"/>
        </w:rPr>
        <w:t xml:space="preserve">拆除或转移现场临时设施的，承包人必须在指定期限内拆除转移完毕，费用由承包人承担。承包人必须按发包人规定的时间先行搬迁，承包人不执行发包人指令的，视同承包人违约，每延迟一日，承包人向发包人支付壹万元的违约金。E、因承包人现场清洁卫生工作不到位，导致投诉或遭新闻媒体曝光，承包人承担由此产生的一切后果和费用，经查实后，每次给予5000元罚款。承包人要制定生活和环境卫生管理制度，要搞好职工宿舍卫生和食堂的饮食卫生，并做好厕所保洁工作。临时搭建须经发包人批准，且应整齐美观，并严格执行《连云港市创建文明城市》的相关规定</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6.1.6 关于安全文明施工费支付比例和支付期限的约定：</w:t>
      </w:r>
      <w:r>
        <w:rPr>
          <w:rFonts w:hint="eastAsia"/>
          <w:color w:val="auto"/>
          <w:szCs w:val="21"/>
          <w:highlight w:val="none"/>
          <w:u w:val="single"/>
          <w:lang w:eastAsia="zh-CN"/>
        </w:rPr>
        <w:t xml:space="preserve">按</w:t>
      </w:r>
      <w:r>
        <w:rPr>
          <w:rFonts w:hint="eastAsia"/>
          <w:color w:val="auto"/>
          <w:szCs w:val="21"/>
          <w:highlight w:val="none"/>
          <w:u w:val="single"/>
          <w:lang w:val="en-US" w:eastAsia="zh-CN"/>
        </w:rPr>
        <w:t xml:space="preserve">最新文件执行</w:t>
      </w:r>
      <w:r>
        <w:rPr>
          <w:rFonts w:hint="eastAsia"/>
          <w:color w:val="auto"/>
          <w:szCs w:val="21"/>
          <w:highlight w:val="none"/>
          <w:lang w:eastAsia="zh-CN"/>
        </w:rPr>
        <w:t xml:space="preserve">。</w:t>
      </w:r>
      <w:r>
        <w:rPr>
          <w:color w:val="auto"/>
          <w:highlight w:val="none"/>
        </w:rPr>
      </w:r>
    </w:p>
    <w:p>
      <w:pPr>
        <w:pStyle w:val="712"/>
        <w:pageBreakBefore w:val="0"/>
        <w:spacing w:line="240" w:lineRule="auto"/>
        <w:widowControl/>
        <w:rPr>
          <w:b w:val="0"/>
          <w:color w:val="auto"/>
          <w:szCs w:val="21"/>
          <w:highlight w:val="none"/>
        </w:rPr>
      </w:pPr>
      <w:r>
        <w:rPr>
          <w:rFonts w:hint="eastAsia"/>
          <w:b w:val="0"/>
          <w:color w:val="auto"/>
          <w:szCs w:val="21"/>
          <w:highlight w:val="none"/>
          <w:lang w:eastAsia="zh-CN"/>
        </w:rPr>
        <w:t xml:space="preserve">7. 工期和进度</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7.1 施工组织设计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7.1.1 合同当事人约定的施工组织设计应包括的其他内容：</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（1）总体概述：施工组织总体设想、方案针对性及施工段划分；</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（2）施工现场平面布置和临时设施、临时道路布置；</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（3）施工进度计划和各阶段进度的保证措施；</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（4）劳动力、机械设备和材料投入计划；</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（5）关键施工技术、工艺及工程项目实施的重点、难点和解决方案；</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（6）新技术、新产品、新工艺、新材料应用；</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（7）合同当事人约定的其他内容。</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7.1.2 施工组织设计的提交和修改</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承包人提交详细施工组织设计的期限的约定：</w:t>
      </w:r>
      <w:r>
        <w:rPr>
          <w:rFonts w:hint="eastAsia"/>
          <w:color w:val="auto"/>
          <w:szCs w:val="21"/>
          <w:highlight w:val="none"/>
          <w:u w:val="single"/>
          <w:lang w:eastAsia="zh-CN"/>
        </w:rPr>
        <w:t xml:space="preserve">承包人应在合同签订后3天内，向</w:t>
      </w:r>
      <w:r>
        <w:rPr>
          <w:rFonts w:hint="eastAsia"/>
          <w:color w:val="auto"/>
          <w:szCs w:val="21"/>
          <w:highlight w:val="none"/>
          <w:u w:val="single"/>
          <w:lang w:val="en-US" w:eastAsia="zh-CN"/>
        </w:rPr>
        <w:t xml:space="preserve">发包</w:t>
      </w:r>
      <w:r>
        <w:rPr>
          <w:rFonts w:hint="eastAsia"/>
          <w:color w:val="auto"/>
          <w:szCs w:val="21"/>
          <w:highlight w:val="none"/>
          <w:u w:val="single"/>
          <w:lang w:eastAsia="zh-CN"/>
        </w:rPr>
        <w:t xml:space="preserve">人提交详细的施工组织设计。除专用合同条款另有约定外，发包人收到施工组织设计后7天内确认或提出修改意见。对发包人提出的合理意见和要求，承包人应自费修改完善。根据工程实际情况需要修改施工组织设计的，承包人应向发包人提交修改后的施工组织设计。施工进度计划的编制和修改按照第7.2款〔施工进度计划〕执行</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发包人在收到详细的施工组织设计后确认或提出修改意见的期限：</w:t>
      </w:r>
      <w:r>
        <w:rPr>
          <w:rFonts w:hint="eastAsia"/>
          <w:color w:val="auto"/>
          <w:szCs w:val="21"/>
          <w:highlight w:val="none"/>
          <w:u w:val="single"/>
          <w:lang w:eastAsia="zh-CN"/>
        </w:rPr>
        <w:t xml:space="preserve">收到施工组织设计7天内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7.2 施工进度计划</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7.2.2 施工进度计划的修订</w:t>
      </w:r>
      <w:r>
        <w:rPr>
          <w:color w:val="auto"/>
          <w:highlight w:val="none"/>
        </w:rPr>
      </w:r>
    </w:p>
    <w:p>
      <w:pPr>
        <w:pStyle w:val="723"/>
        <w:ind w:firstLine="420"/>
        <w:pageBreakBefore w:val="0"/>
        <w:spacing w:line="240" w:lineRule="auto"/>
        <w:rPr>
          <w:color w:val="auto"/>
          <w:szCs w:val="21"/>
          <w:highlight w:val="none"/>
        </w:rPr>
      </w:pPr>
      <w:r>
        <w:rPr>
          <w:rFonts w:hint="eastAsia"/>
          <w:color w:val="auto"/>
          <w:szCs w:val="21"/>
          <w:highlight w:val="none"/>
          <w:lang w:eastAsia="zh-CN"/>
        </w:rPr>
        <w:t xml:space="preserve">发包人和监理人在收到修订的施工进度计划后确认或提出修改意见的期限：</w:t>
      </w:r>
      <w:r>
        <w:rPr>
          <w:rFonts w:hint="eastAsia"/>
          <w:color w:val="auto"/>
          <w:szCs w:val="21"/>
          <w:highlight w:val="none"/>
          <w:u w:val="single"/>
          <w:lang w:eastAsia="zh-CN"/>
        </w:rPr>
        <w:t xml:space="preserve">发包人在收到修订的施工进度计划后确认或提出修改意见的期限：承包人取得全部施工图纸后 7 日内提交较投标书中更为详细的施工组织设计和进度计划，报发包人审批，进度计划必须包括对其他承包人承包工程的进度要求。在实施中，如在发包人看来工程的实际进度不符合已经批准的进度计划，承包人应根据发包人的要求提出一份修订过的进度计划，报发包人确认，但这种确认并非对工期延期的批准，如修改后</w:t>
      </w:r>
      <w:r>
        <w:rPr>
          <w:rFonts w:hint="eastAsia"/>
          <w:color w:val="auto"/>
          <w:szCs w:val="21"/>
          <w:highlight w:val="none"/>
          <w:u w:val="single"/>
          <w:lang w:eastAsia="zh-CN"/>
        </w:rPr>
        <w:t xml:space="preserve">的计划仍不能按期完成，承包人仍应承担相应的违约责任。每月工程进度计划在每月 25 日前报送 ，发包人代表在 3 日内确认承包人报送的施工组织设计和进度计划。承包人应按照批准后的施工组织设计（施工方案）进行施工，对未按批准后的施工组织设计（施工方案）进行施工，造成的一切损失，均由承包人承担。双方在确定竣工日期及各项控制工期时，已充分考虑可能出现各种形式的雨雪、冰雹、台风、高温天气、低温天气、停水、停电、节假日、扰民和民扰、市政影响、农忙、中高考、现场条件影响等不利因素及发包人分包工程的合理工期。承包人必须配备</w:t>
      </w:r>
      <w:r>
        <w:rPr>
          <w:rFonts w:hint="eastAsia"/>
          <w:color w:val="auto"/>
          <w:szCs w:val="21"/>
          <w:highlight w:val="none"/>
          <w:u w:val="single"/>
          <w:lang w:eastAsia="zh-CN"/>
        </w:rPr>
        <w:t xml:space="preserve">专职的人员满足发包人安排的工作。承包人在每月 25日向发包人书面报送《下月施工计划》和《本月完成工程月报》，下月施工计划必须具体、详细，包括人力安排、工程量等。如工期滞后，需同时提报合理的赶工措施。如不按时、按要求报送，发包人有权不予支付本期进度款或支付时间顺延。工地实行周报制度，周报在每周例会前一日报送发包人，周报包括本周计划和上周完成工作、未完成情况说明（包括拟采取措施、最终完成时间）。承包人要参加各类施工协调、配合会，由于工地交叉施工引起的问题，有义务进行配合协商解决，服从发包人现场总协调作出的决定。</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7.3 开工</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7.3.1 开工准备</w:t>
      </w:r>
      <w:r>
        <w:rPr>
          <w:color w:val="auto"/>
          <w:highlight w:val="none"/>
        </w:rPr>
      </w:r>
    </w:p>
    <w:p>
      <w:pPr>
        <w:ind w:firstLine="645"/>
        <w:pageBreakBefore w:val="0"/>
        <w:spacing w:line="240" w:lineRule="auto"/>
        <w:rPr>
          <w:color w:val="auto"/>
          <w:szCs w:val="21"/>
          <w:highlight w:val="none"/>
          <w:u w:val="single"/>
        </w:rPr>
      </w:pPr>
      <w:r>
        <w:rPr>
          <w:rFonts w:hint="eastAsia"/>
          <w:color w:val="auto"/>
          <w:szCs w:val="21"/>
          <w:highlight w:val="none"/>
          <w:lang w:eastAsia="zh-CN"/>
        </w:rPr>
        <w:t xml:space="preserve">关于承包人提交工程开工报审表的期限：</w:t>
      </w:r>
      <w:r>
        <w:rPr>
          <w:rFonts w:hint="eastAsia"/>
          <w:color w:val="auto"/>
          <w:szCs w:val="21"/>
          <w:highlight w:val="none"/>
          <w:u w:val="single"/>
          <w:lang w:eastAsia="zh-CN"/>
        </w:rPr>
        <w:t xml:space="preserve">  合同签订后3日内 </w:t>
      </w:r>
      <w:r>
        <w:rPr>
          <w:rFonts w:hint="eastAsia"/>
          <w:color w:val="auto"/>
          <w:szCs w:val="21"/>
          <w:highlight w:val="none"/>
          <w:lang w:eastAsia="zh-CN"/>
        </w:rPr>
        <w:t xml:space="preserve">。</w:t>
      </w:r>
      <w:r>
        <w:rPr>
          <w:color w:val="auto"/>
          <w:highlight w:val="none"/>
        </w:rPr>
      </w:r>
    </w:p>
    <w:p>
      <w:pPr>
        <w:ind w:firstLine="645"/>
        <w:pageBreakBefore w:val="0"/>
        <w:spacing w:line="240" w:lineRule="auto"/>
        <w:rPr>
          <w:color w:val="auto"/>
          <w:szCs w:val="21"/>
          <w:highlight w:val="none"/>
        </w:rPr>
      </w:pPr>
      <w:r>
        <w:rPr>
          <w:rFonts w:hint="eastAsia"/>
          <w:color w:val="auto"/>
          <w:szCs w:val="21"/>
          <w:highlight w:val="none"/>
          <w:lang w:eastAsia="zh-CN"/>
        </w:rPr>
        <w:t xml:space="preserve">关于发包人应完成的其他开工准备工作及期限：</w:t>
      </w:r>
      <w:r>
        <w:rPr>
          <w:rFonts w:hint="eastAsia"/>
          <w:color w:val="auto"/>
          <w:szCs w:val="21"/>
          <w:highlight w:val="none"/>
          <w:u w:val="single"/>
          <w:lang w:eastAsia="zh-CN"/>
        </w:rPr>
        <w:t xml:space="preserve">开工日期7天前向承包人移交场地、提供测量基准点、基准线、水准点等资料</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关于承包人应完成的其他开工准备工作及期限：</w:t>
      </w:r>
      <w:r>
        <w:rPr>
          <w:rFonts w:hint="eastAsia"/>
          <w:color w:val="auto"/>
          <w:szCs w:val="21"/>
          <w:highlight w:val="none"/>
          <w:u w:val="single"/>
          <w:lang w:eastAsia="zh-CN"/>
        </w:rPr>
        <w:t xml:space="preserve">因发包人原因造成</w:t>
      </w:r>
      <w:r>
        <w:rPr>
          <w:rFonts w:hint="eastAsia"/>
          <w:color w:val="auto"/>
          <w:szCs w:val="21"/>
          <w:highlight w:val="none"/>
          <w:u w:val="single"/>
          <w:lang w:val="en-US" w:eastAsia="zh-CN"/>
        </w:rPr>
        <w:t xml:space="preserve">发包人</w:t>
      </w:r>
      <w:r>
        <w:rPr>
          <w:rFonts w:hint="eastAsia"/>
          <w:color w:val="auto"/>
          <w:szCs w:val="21"/>
          <w:highlight w:val="none"/>
          <w:u w:val="single"/>
          <w:lang w:eastAsia="zh-CN"/>
        </w:rPr>
        <w:t xml:space="preserve">未能在计划开工日期之日起</w:t>
      </w:r>
      <w:r>
        <w:rPr>
          <w:rFonts w:hint="eastAsia"/>
          <w:color w:val="auto"/>
          <w:szCs w:val="21"/>
          <w:highlight w:val="none"/>
          <w:u w:val="single"/>
          <w:lang w:val="en-US" w:eastAsia="zh-CN"/>
        </w:rPr>
        <w:t xml:space="preserve">9</w:t>
      </w:r>
      <w:r>
        <w:rPr>
          <w:rFonts w:hint="eastAsia"/>
          <w:color w:val="auto"/>
          <w:szCs w:val="21"/>
          <w:highlight w:val="none"/>
          <w:u w:val="single"/>
          <w:lang w:eastAsia="zh-CN"/>
        </w:rPr>
        <w:t xml:space="preserve">0天内发出开工通知的，承包人有权提出价格调整要求，或者解除合同</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7.3.2开工通知</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因发包人原因造成未能在计划开工日期之日起</w:t>
      </w:r>
      <w:r>
        <w:rPr>
          <w:rFonts w:hint="eastAsia"/>
          <w:color w:val="auto"/>
          <w:szCs w:val="21"/>
          <w:highlight w:val="none"/>
          <w:u w:val="single"/>
          <w:lang w:eastAsia="zh-CN"/>
        </w:rPr>
        <w:t xml:space="preserve"> 90 </w:t>
      </w:r>
      <w:r>
        <w:rPr>
          <w:rFonts w:hint="eastAsia"/>
          <w:color w:val="auto"/>
          <w:szCs w:val="21"/>
          <w:highlight w:val="none"/>
          <w:lang w:eastAsia="zh-CN"/>
        </w:rPr>
        <w:t xml:space="preserve">天内发出开工通知的，承包人有权提出价格调整要求，或者解除合同。</w:t>
      </w:r>
      <w:r>
        <w:rPr>
          <w:color w:val="auto"/>
          <w:highlight w:val="none"/>
        </w:rPr>
      </w:r>
    </w:p>
    <w:p>
      <w:pPr>
        <w:ind w:firstLine="420"/>
        <w:pageBreakBefore w:val="0"/>
        <w:spacing w:line="240" w:lineRule="auto"/>
        <w:rPr>
          <w:rFonts w:hint="default"/>
          <w:color w:val="auto"/>
          <w:szCs w:val="21"/>
          <w:highlight w:val="none"/>
          <w:u w:val="none"/>
        </w:rPr>
      </w:pPr>
      <w:r>
        <w:rPr>
          <w:rFonts w:hint="eastAsia"/>
          <w:color w:val="auto"/>
          <w:szCs w:val="21"/>
          <w:highlight w:val="none"/>
          <w:lang w:eastAsia="zh-CN"/>
        </w:rPr>
        <w:t xml:space="preserve">7.4 测量放线：</w:t>
      </w:r>
      <w:r>
        <w:rPr>
          <w:rFonts w:hint="eastAsia"/>
          <w:color w:val="auto"/>
          <w:szCs w:val="21"/>
          <w:highlight w:val="none"/>
          <w:u w:val="single"/>
          <w:lang w:val="en-US" w:eastAsia="zh-CN"/>
        </w:rPr>
        <w:t xml:space="preserve">  /  </w:t>
      </w:r>
      <w:r>
        <w:rPr>
          <w:rFonts w:hint="eastAsia"/>
          <w:color w:val="auto"/>
          <w:szCs w:val="21"/>
          <w:highlight w:val="none"/>
          <w:u w:val="none"/>
          <w:lang w:val="en-US"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7.5 工期延误</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7.5.1 因发包人原因导致工期延误</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（7）因发包人原因导致工期延误的其他情形：</w:t>
      </w:r>
      <w:r>
        <w:rPr>
          <w:rFonts w:hint="eastAsia"/>
          <w:color w:val="auto"/>
          <w:szCs w:val="21"/>
          <w:highlight w:val="none"/>
          <w:u w:val="single"/>
          <w:lang w:eastAsia="zh-CN"/>
        </w:rPr>
        <w:t xml:space="preserve">如因政策性法律、法规调整或征地及工期调整，工期顺延，费用不增加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7.5.2 因承包人原因导致工期延误</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因承包人原因造成工期延误，逾期竣工违约金的计算方法为：</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因承包人原因不能按照协议书约定的竣工日期或工程师同意顺延的工期竣工的，承包人承担违约责任。</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u w:val="single"/>
          <w:lang w:eastAsia="zh-CN"/>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因承包人原因造成工期延误，逾期竣工违约金的上限：</w:t>
      </w:r>
      <w:r>
        <w:rPr>
          <w:rFonts w:hint="eastAsia"/>
          <w:color w:val="auto"/>
          <w:szCs w:val="21"/>
          <w:highlight w:val="none"/>
          <w:u w:val="single"/>
          <w:lang w:eastAsia="zh-CN"/>
        </w:rPr>
        <w:t xml:space="preserve">合同价10%</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7.6 不利物质条件</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不利物质条件的其他情形和有关约定：</w:t>
      </w:r>
      <w:r>
        <w:rPr>
          <w:rFonts w:hint="eastAsia"/>
          <w:color w:val="auto"/>
          <w:szCs w:val="21"/>
          <w:highlight w:val="none"/>
          <w:u w:val="single"/>
          <w:lang w:eastAsia="zh-CN"/>
        </w:rPr>
        <w:t xml:space="preserve">承包人对该工程现场条件等，在投标和合同签订前已进行了充分的了解，对工程各方面充分考虑了施工中各种不利因素，采用克服不利物质条件的合理措施继续施工，在合同工期内完成施工任务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w:t>
      </w:r>
      <w:bookmarkStart w:id="161" w:name="_Toc312678017"/>
      <w:r>
        <w:rPr>
          <w:color w:val="auto"/>
          <w:highlight w:val="none"/>
        </w:rPr>
      </w:r>
      <w:bookmarkStart w:id="162" w:name="_Toc303539130"/>
      <w:r>
        <w:rPr>
          <w:color w:val="auto"/>
          <w:highlight w:val="none"/>
        </w:rPr>
      </w:r>
      <w:bookmarkStart w:id="163" w:name="_Toc297123521"/>
      <w:r>
        <w:rPr>
          <w:color w:val="auto"/>
          <w:highlight w:val="none"/>
        </w:rPr>
      </w:r>
      <w:bookmarkStart w:id="164" w:name="_Toc297216180"/>
      <w:r>
        <w:rPr>
          <w:color w:val="auto"/>
          <w:highlight w:val="none"/>
        </w:rPr>
      </w:r>
      <w:bookmarkStart w:id="165" w:name="_Toc304295551"/>
      <w:r>
        <w:rPr>
          <w:color w:val="auto"/>
          <w:highlight w:val="none"/>
        </w:rPr>
      </w:r>
      <w:bookmarkStart w:id="166" w:name="_Toc300934973"/>
      <w:r>
        <w:rPr>
          <w:rFonts w:hint="eastAsia"/>
          <w:color w:val="auto"/>
          <w:szCs w:val="21"/>
          <w:highlight w:val="none"/>
          <w:lang w:eastAsia="zh-CN"/>
        </w:rPr>
        <w:t xml:space="preserve">.7异常恶劣的气候条件</w:t>
      </w:r>
      <w:bookmarkEnd w:id="161"/>
      <w:r>
        <w:rPr>
          <w:color w:val="auto"/>
        </w:rPr>
      </w:r>
      <w:bookmarkEnd w:id="162"/>
      <w:r>
        <w:rPr>
          <w:color w:val="auto"/>
        </w:rPr>
      </w:r>
      <w:bookmarkEnd w:id="163"/>
      <w:r>
        <w:rPr>
          <w:color w:val="auto"/>
        </w:rPr>
      </w:r>
      <w:bookmarkEnd w:id="164"/>
      <w:r>
        <w:rPr>
          <w:color w:val="auto"/>
        </w:rPr>
      </w:r>
      <w:bookmarkEnd w:id="165"/>
      <w:r>
        <w:rPr>
          <w:color w:val="auto"/>
        </w:rPr>
      </w:r>
      <w:bookmarkEnd w:id="166"/>
      <w:r>
        <w:rPr>
          <w:color w:val="auto"/>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发包人和承包人同意以下情形视为异常恶劣的气候条件：</w:t>
      </w:r>
      <w:r>
        <w:rPr>
          <w:color w:val="auto"/>
          <w:highlight w:val="none"/>
        </w:rPr>
      </w:r>
    </w:p>
    <w:p>
      <w:pPr>
        <w:pageBreakBefore w:val="0"/>
        <w:spacing w:line="240" w:lineRule="auto"/>
        <w:rPr>
          <w:color w:val="auto"/>
          <w:szCs w:val="21"/>
          <w:highlight w:val="none"/>
          <w:u w:val="single"/>
        </w:rPr>
      </w:pPr>
      <w:r>
        <w:rPr>
          <w:rFonts w:hint="eastAsia"/>
          <w:color w:val="auto"/>
          <w:szCs w:val="21"/>
          <w:highlight w:val="none"/>
          <w:lang w:eastAsia="zh-CN"/>
        </w:rPr>
        <w:t xml:space="preserve">    （1）</w:t>
      </w:r>
      <w:r>
        <w:rPr>
          <w:rFonts w:hint="eastAsia"/>
          <w:color w:val="auto"/>
          <w:szCs w:val="21"/>
          <w:highlight w:val="none"/>
          <w:u w:val="single"/>
          <w:lang w:eastAsia="zh-CN"/>
        </w:rPr>
        <w:t xml:space="preserve">日降雨量大于50mm的雨日超过1天；</w:t>
      </w:r>
      <w:r>
        <w:rPr>
          <w:color w:val="auto"/>
          <w:highlight w:val="none"/>
        </w:rPr>
      </w:r>
    </w:p>
    <w:p>
      <w:pPr>
        <w:pageBreakBefore w:val="0"/>
        <w:spacing w:line="240" w:lineRule="auto"/>
        <w:rPr>
          <w:color w:val="auto"/>
          <w:szCs w:val="21"/>
          <w:highlight w:val="none"/>
          <w:u w:val="single"/>
        </w:rPr>
      </w:pPr>
      <w:r>
        <w:rPr>
          <w:rFonts w:hint="eastAsia"/>
          <w:color w:val="auto"/>
          <w:szCs w:val="21"/>
          <w:highlight w:val="none"/>
          <w:lang w:eastAsia="zh-CN"/>
        </w:rPr>
        <w:t xml:space="preserve">   </w:t>
      </w:r>
      <w:r>
        <w:rPr>
          <w:rFonts w:hint="eastAsia"/>
          <w:color w:val="auto"/>
          <w:szCs w:val="21"/>
          <w:highlight w:val="none"/>
          <w:lang w:val="en-US" w:eastAsia="zh-CN"/>
        </w:rPr>
        <w:t xml:space="preserve"> </w:t>
      </w:r>
      <w:r>
        <w:rPr>
          <w:rFonts w:hint="eastAsia"/>
          <w:color w:val="auto"/>
          <w:szCs w:val="21"/>
          <w:highlight w:val="none"/>
          <w:lang w:eastAsia="zh-CN"/>
        </w:rPr>
        <w:t xml:space="preserve">（2）</w:t>
      </w:r>
      <w:r>
        <w:rPr>
          <w:rFonts w:hint="eastAsia"/>
          <w:color w:val="auto"/>
          <w:szCs w:val="21"/>
          <w:highlight w:val="none"/>
          <w:u w:val="single"/>
          <w:lang w:eastAsia="zh-CN"/>
        </w:rPr>
        <w:t xml:space="preserve">6级以上台风灾害；</w:t>
      </w:r>
      <w:r>
        <w:rPr>
          <w:color w:val="auto"/>
          <w:highlight w:val="none"/>
        </w:rPr>
      </w:r>
    </w:p>
    <w:p>
      <w:pPr>
        <w:pageBreakBefore w:val="0"/>
        <w:spacing w:line="240" w:lineRule="auto"/>
        <w:rPr>
          <w:color w:val="auto"/>
          <w:szCs w:val="21"/>
          <w:highlight w:val="none"/>
          <w:u w:val="single"/>
        </w:rPr>
      </w:pPr>
      <w:r>
        <w:rPr>
          <w:rFonts w:hint="eastAsia"/>
          <w:color w:val="auto"/>
          <w:szCs w:val="21"/>
          <w:highlight w:val="none"/>
          <w:lang w:eastAsia="zh-CN"/>
        </w:rPr>
        <w:t xml:space="preserve">    （3）</w:t>
      </w:r>
      <w:r>
        <w:rPr>
          <w:rFonts w:hint="eastAsia"/>
          <w:color w:val="auto"/>
          <w:szCs w:val="21"/>
          <w:highlight w:val="none"/>
          <w:u w:val="single"/>
          <w:lang w:eastAsia="zh-CN"/>
        </w:rPr>
        <w:t xml:space="preserve">日气温超过38℃ 的高温大于3天；</w:t>
      </w:r>
      <w:r>
        <w:rPr>
          <w:color w:val="auto"/>
          <w:highlight w:val="none"/>
        </w:rPr>
      </w:r>
    </w:p>
    <w:p>
      <w:pPr>
        <w:pageBreakBefore w:val="0"/>
        <w:spacing w:line="240" w:lineRule="auto"/>
        <w:rPr>
          <w:color w:val="auto"/>
          <w:szCs w:val="21"/>
          <w:highlight w:val="none"/>
          <w:u w:val="single"/>
        </w:rPr>
      </w:pPr>
      <w:r>
        <w:rPr>
          <w:rFonts w:hint="eastAsia"/>
          <w:color w:val="auto"/>
          <w:szCs w:val="21"/>
          <w:highlight w:val="none"/>
          <w:lang w:eastAsia="zh-CN"/>
        </w:rPr>
        <w:t xml:space="preserve">    （4）</w:t>
      </w:r>
      <w:r>
        <w:rPr>
          <w:rFonts w:hint="eastAsia"/>
          <w:color w:val="auto"/>
          <w:szCs w:val="21"/>
          <w:highlight w:val="none"/>
          <w:u w:val="single"/>
          <w:lang w:eastAsia="zh-CN"/>
        </w:rPr>
        <w:t xml:space="preserve">日气温低于-20℃的严寒大于3天；</w:t>
      </w:r>
      <w:r>
        <w:rPr>
          <w:color w:val="auto"/>
          <w:highlight w:val="none"/>
        </w:rPr>
      </w:r>
    </w:p>
    <w:p>
      <w:pPr>
        <w:pageBreakBefore w:val="0"/>
        <w:spacing w:line="240" w:lineRule="auto"/>
        <w:rPr>
          <w:color w:val="auto"/>
          <w:szCs w:val="21"/>
          <w:highlight w:val="none"/>
        </w:rPr>
      </w:pPr>
      <w:r>
        <w:rPr>
          <w:rFonts w:hint="eastAsia"/>
          <w:color w:val="auto"/>
          <w:szCs w:val="21"/>
          <w:highlight w:val="none"/>
          <w:lang w:eastAsia="zh-CN"/>
        </w:rPr>
        <w:t xml:space="preserve">    （5）</w:t>
      </w:r>
      <w:r>
        <w:rPr>
          <w:rFonts w:hint="eastAsia"/>
          <w:color w:val="auto"/>
          <w:szCs w:val="21"/>
          <w:highlight w:val="none"/>
          <w:u w:val="single"/>
          <w:lang w:eastAsia="zh-CN"/>
        </w:rPr>
        <w:t xml:space="preserve">造成工程损坏的冰雹和大雪灾害：日降雪量10mm及以上；</w:t>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167" w:name="_Toc11841"/>
      <w:r>
        <w:rPr>
          <w:color w:val="auto"/>
          <w:highlight w:val="none"/>
        </w:rPr>
      </w:r>
      <w:bookmarkStart w:id="168" w:name="_Toc19098"/>
      <w:r>
        <w:rPr>
          <w:rFonts w:hint="eastAsia"/>
          <w:color w:val="auto"/>
          <w:szCs w:val="21"/>
          <w:highlight w:val="none"/>
          <w:lang w:eastAsia="zh-CN"/>
        </w:rPr>
        <w:t xml:space="preserve">7.9 提前竣工的奖励</w:t>
      </w:r>
      <w:bookmarkEnd w:id="167"/>
      <w:r>
        <w:rPr>
          <w:color w:val="auto"/>
          <w:highlight w:val="none"/>
        </w:rPr>
      </w:r>
      <w:bookmarkEnd w:id="168"/>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7.9.2提前竣工的奖励：</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7.10补充条款：</w:t>
      </w:r>
      <w:r>
        <w:rPr>
          <w:rFonts w:hint="eastAsia"/>
          <w:color w:val="auto"/>
          <w:szCs w:val="21"/>
          <w:highlight w:val="none"/>
          <w:u w:val="single"/>
          <w:lang w:eastAsia="zh-CN"/>
        </w:rPr>
        <w:t xml:space="preserve">A、承包人应当按照发包人书面指定的开工日期开工。承包人不能按时开工，应当不迟于发包人通知的开工日期前3天，以书面形式向发包人提出延期开工的理由和要求。发包人代表应当在接到延期开工申请后的48小时内以书面形式答复承包人。发包人在接到延期开工申请后48小时内不答复，视为同意承包人要求，工期相应顺延。发包人不同意延期要求或承包人未在规定时间内提出延期开工要求，工期不予顺延。B、开工前承包人对施工图纸认真核查，积极配合发包人组织的施工</w:t>
      </w:r>
      <w:r>
        <w:rPr>
          <w:rFonts w:hint="eastAsia"/>
          <w:color w:val="auto"/>
          <w:szCs w:val="21"/>
          <w:highlight w:val="none"/>
          <w:u w:val="single"/>
          <w:lang w:val="en-US" w:eastAsia="zh-CN"/>
        </w:rPr>
        <w:t xml:space="preserve">方案</w:t>
      </w:r>
      <w:r>
        <w:rPr>
          <w:rFonts w:hint="eastAsia"/>
          <w:color w:val="auto"/>
          <w:szCs w:val="21"/>
          <w:highlight w:val="none"/>
          <w:u w:val="single"/>
          <w:lang w:eastAsia="zh-CN"/>
        </w:rPr>
        <w:t xml:space="preserve">交底及会审工作，指出图纸上任何不符施工常规、惯例或规范之处，以及设计</w:t>
      </w:r>
      <w:r>
        <w:rPr>
          <w:rFonts w:hint="eastAsia"/>
          <w:color w:val="auto"/>
          <w:szCs w:val="21"/>
          <w:highlight w:val="none"/>
          <w:u w:val="single"/>
          <w:lang w:val="en-US" w:eastAsia="zh-CN"/>
        </w:rPr>
        <w:t xml:space="preserve">方案</w:t>
      </w:r>
      <w:r>
        <w:rPr>
          <w:rFonts w:hint="eastAsia"/>
          <w:color w:val="auto"/>
          <w:szCs w:val="21"/>
          <w:highlight w:val="none"/>
          <w:u w:val="single"/>
          <w:lang w:eastAsia="zh-CN"/>
        </w:rPr>
        <w:t xml:space="preserve">中错、漏、各专业不符问题。如因承包人未能在施工该道工序提前10日协调解决好此类矛盾、问题而造成工程费用增加和工期延误，承包人承担全部责任。C、合同总价已包括必须的加班工作以使本工程能在竣工之日前完成。以后补偿加班费的要求将不予考虑。D、根据施工现场等实际需要，对施工现场布置进行调整和整修、对设计</w:t>
      </w:r>
      <w:r>
        <w:rPr>
          <w:rFonts w:hint="eastAsia"/>
          <w:color w:val="auto"/>
          <w:szCs w:val="21"/>
          <w:highlight w:val="none"/>
          <w:u w:val="single"/>
          <w:lang w:val="en-US" w:eastAsia="zh-CN"/>
        </w:rPr>
        <w:t xml:space="preserve">方案</w:t>
      </w:r>
      <w:r>
        <w:rPr>
          <w:rFonts w:hint="eastAsia"/>
          <w:color w:val="auto"/>
          <w:szCs w:val="21"/>
          <w:highlight w:val="none"/>
          <w:u w:val="single"/>
          <w:lang w:eastAsia="zh-CN"/>
        </w:rPr>
        <w:t xml:space="preserve">进行变更，承包人应无条件给予配合执行，并在发包人规定的时间内完成，否则，每逾期一日，承包人应向发包人支付人民币1000元违约金，并限时完成指令。</w:t>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8. 材料与设备</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8</w:t>
      </w:r>
      <w:bookmarkStart w:id="169" w:name="_Toc296944506"/>
      <w:r>
        <w:rPr>
          <w:color w:val="auto"/>
          <w:highlight w:val="none"/>
        </w:rPr>
      </w:r>
      <w:bookmarkStart w:id="170" w:name="_Toc296503167"/>
      <w:r>
        <w:rPr>
          <w:color w:val="auto"/>
          <w:highlight w:val="none"/>
        </w:rPr>
      </w:r>
      <w:bookmarkStart w:id="171" w:name="_Toc312678019"/>
      <w:r>
        <w:rPr>
          <w:color w:val="auto"/>
          <w:highlight w:val="none"/>
        </w:rPr>
      </w:r>
      <w:bookmarkStart w:id="172" w:name="_Toc292559877"/>
      <w:r>
        <w:rPr>
          <w:color w:val="auto"/>
          <w:highlight w:val="none"/>
        </w:rPr>
      </w:r>
      <w:bookmarkStart w:id="173" w:name="_Toc297048353"/>
      <w:r>
        <w:rPr>
          <w:color w:val="auto"/>
          <w:highlight w:val="none"/>
        </w:rPr>
      </w:r>
      <w:bookmarkStart w:id="174" w:name="_Toc296890995"/>
      <w:r>
        <w:rPr>
          <w:color w:val="auto"/>
          <w:highlight w:val="none"/>
        </w:rPr>
      </w:r>
      <w:bookmarkStart w:id="175" w:name="_Toc304295556"/>
      <w:r>
        <w:rPr>
          <w:color w:val="auto"/>
          <w:highlight w:val="none"/>
        </w:rPr>
      </w:r>
      <w:bookmarkStart w:id="176" w:name="_Toc297123527"/>
      <w:r>
        <w:rPr>
          <w:color w:val="auto"/>
          <w:highlight w:val="none"/>
        </w:rPr>
      </w:r>
      <w:bookmarkStart w:id="177" w:name="_Toc297120467"/>
      <w:r>
        <w:rPr>
          <w:color w:val="auto"/>
          <w:highlight w:val="none"/>
        </w:rPr>
      </w:r>
      <w:bookmarkStart w:id="178" w:name="_Toc296891207"/>
      <w:r>
        <w:rPr>
          <w:color w:val="auto"/>
          <w:highlight w:val="none"/>
        </w:rPr>
      </w:r>
      <w:bookmarkStart w:id="179" w:name="_Toc297216186"/>
      <w:r>
        <w:rPr>
          <w:color w:val="auto"/>
          <w:highlight w:val="none"/>
        </w:rPr>
      </w:r>
      <w:bookmarkStart w:id="180" w:name="_Toc312677493"/>
      <w:r>
        <w:rPr>
          <w:color w:val="auto"/>
          <w:highlight w:val="none"/>
        </w:rPr>
      </w:r>
      <w:bookmarkStart w:id="181" w:name="_Toc296347166"/>
      <w:r>
        <w:rPr>
          <w:color w:val="auto"/>
          <w:highlight w:val="none"/>
        </w:rPr>
      </w:r>
      <w:bookmarkStart w:id="182" w:name="_Toc296346668"/>
      <w:r>
        <w:rPr>
          <w:color w:val="auto"/>
          <w:highlight w:val="none"/>
        </w:rPr>
      </w:r>
      <w:bookmarkStart w:id="183" w:name="_Toc300934979"/>
      <w:r>
        <w:rPr>
          <w:color w:val="auto"/>
          <w:highlight w:val="none"/>
        </w:rPr>
      </w:r>
      <w:bookmarkStart w:id="184" w:name="_Toc303539136"/>
      <w:r>
        <w:rPr>
          <w:color w:val="auto"/>
          <w:highlight w:val="none"/>
        </w:rPr>
      </w:r>
      <w:bookmarkStart w:id="185" w:name="_Toc292559372"/>
      <w:r>
        <w:rPr>
          <w:color w:val="auto"/>
          <w:highlight w:val="none"/>
        </w:rPr>
      </w:r>
      <w:bookmarkStart w:id="186" w:name="_Toc280868654"/>
      <w:r>
        <w:rPr>
          <w:rFonts w:hint="eastAsia"/>
          <w:color w:val="auto"/>
          <w:szCs w:val="21"/>
          <w:highlight w:val="none"/>
          <w:lang w:eastAsia="zh-CN"/>
        </w:rPr>
        <w:t xml:space="preserve">.4材料与工程设备的保管与使用</w:t>
      </w:r>
      <w:bookmarkEnd w:id="169"/>
      <w:r>
        <w:rPr>
          <w:color w:val="auto"/>
        </w:rPr>
      </w:r>
      <w:bookmarkEnd w:id="170"/>
      <w:r>
        <w:rPr>
          <w:color w:val="auto"/>
        </w:rPr>
      </w:r>
      <w:bookmarkEnd w:id="171"/>
      <w:r>
        <w:rPr>
          <w:color w:val="auto"/>
        </w:rPr>
      </w:r>
      <w:bookmarkEnd w:id="172"/>
      <w:r>
        <w:rPr>
          <w:color w:val="auto"/>
        </w:rPr>
      </w:r>
      <w:bookmarkEnd w:id="173"/>
      <w:r>
        <w:rPr>
          <w:color w:val="auto"/>
        </w:rPr>
      </w:r>
      <w:bookmarkEnd w:id="174"/>
      <w:r>
        <w:rPr>
          <w:color w:val="auto"/>
        </w:rPr>
      </w:r>
      <w:bookmarkEnd w:id="175"/>
      <w:r>
        <w:rPr>
          <w:color w:val="auto"/>
        </w:rPr>
      </w:r>
      <w:bookmarkEnd w:id="176"/>
      <w:r>
        <w:rPr>
          <w:color w:val="auto"/>
        </w:rPr>
      </w:r>
      <w:bookmarkEnd w:id="177"/>
      <w:r>
        <w:rPr>
          <w:color w:val="auto"/>
        </w:rPr>
      </w:r>
      <w:bookmarkEnd w:id="178"/>
      <w:r>
        <w:rPr>
          <w:color w:val="auto"/>
        </w:rPr>
      </w:r>
      <w:bookmarkEnd w:id="179"/>
      <w:r>
        <w:rPr>
          <w:color w:val="auto"/>
        </w:rPr>
      </w:r>
      <w:bookmarkEnd w:id="180"/>
      <w:r>
        <w:rPr>
          <w:color w:val="auto"/>
        </w:rPr>
      </w:r>
      <w:bookmarkEnd w:id="181"/>
      <w:r>
        <w:rPr>
          <w:color w:val="auto"/>
        </w:rPr>
      </w:r>
      <w:bookmarkEnd w:id="182"/>
      <w:r>
        <w:rPr>
          <w:color w:val="auto"/>
        </w:rPr>
      </w:r>
      <w:bookmarkEnd w:id="183"/>
      <w:r>
        <w:rPr>
          <w:color w:val="auto"/>
        </w:rPr>
      </w:r>
      <w:bookmarkEnd w:id="184"/>
      <w:r>
        <w:rPr>
          <w:color w:val="auto"/>
        </w:rPr>
      </w:r>
      <w:bookmarkEnd w:id="185"/>
      <w:r>
        <w:rPr>
          <w:color w:val="auto"/>
        </w:rPr>
      </w:r>
      <w:bookmarkEnd w:id="186"/>
      <w:r>
        <w:rPr>
          <w:color w:val="auto"/>
        </w:rPr>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8.4.1发包人供应的材料设备的保管费用的承担：</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none"/>
          <w:lang w:eastAsia="zh-CN"/>
        </w:rPr>
        <w:t xml:space="preserve">（1）</w:t>
      </w:r>
      <w:r>
        <w:rPr>
          <w:rFonts w:hint="eastAsia"/>
          <w:color w:val="auto"/>
          <w:szCs w:val="21"/>
          <w:highlight w:val="none"/>
          <w:u w:val="single"/>
          <w:lang w:eastAsia="zh-CN"/>
        </w:rPr>
        <w:t xml:space="preserve">承包人因工程需要，要求发包人供应甲供材时，必须提前15天向发包人上报甲供材的书面供货计划，发包人根据承包人的供货计划向承包人供应材料与设备。</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none"/>
          <w:lang w:eastAsia="zh-CN"/>
        </w:rPr>
        <w:t xml:space="preserve">（2）</w:t>
      </w:r>
      <w:r>
        <w:rPr>
          <w:rFonts w:hint="eastAsia"/>
          <w:color w:val="auto"/>
          <w:szCs w:val="21"/>
          <w:highlight w:val="none"/>
          <w:u w:val="single"/>
          <w:lang w:eastAsia="zh-CN"/>
        </w:rPr>
        <w:t xml:space="preserve">货到现场后接到发包人通知的1小时内，承包人必须按照供货清单清点、开箱检验，合格后由承包人全数接收，与此相关下力费及堆放和保管由承包人负责。</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none"/>
          <w:lang w:eastAsia="zh-CN"/>
        </w:rPr>
        <w:t xml:space="preserve">（3）</w:t>
      </w:r>
      <w:r>
        <w:rPr>
          <w:rFonts w:hint="eastAsia"/>
          <w:color w:val="auto"/>
          <w:szCs w:val="21"/>
          <w:highlight w:val="none"/>
          <w:u w:val="single"/>
          <w:lang w:eastAsia="zh-CN"/>
        </w:rPr>
        <w:t xml:space="preserve">甲供材入场前因运输过程中造成的损失，由发包人承担；承包人接收货物后造成的损失，由承包人承担。</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u w:val="none"/>
          <w:lang w:eastAsia="zh-CN"/>
        </w:rPr>
        <w:t xml:space="preserve">（4）</w:t>
      </w:r>
      <w:r>
        <w:rPr>
          <w:rFonts w:hint="eastAsia"/>
          <w:color w:val="auto"/>
          <w:szCs w:val="21"/>
          <w:highlight w:val="none"/>
          <w:u w:val="single"/>
          <w:lang w:eastAsia="zh-CN"/>
        </w:rPr>
        <w:t xml:space="preserve">发包人供应的材料和设备的施工损耗按《江苏省建筑与装饰工程计价定额》2014版、《江苏省安装工程计价定额》2014版、《江苏省市政工程计价定额》2014版中材料消耗率执行。承包人实际领用量超过工程结算审定的工程量，超出部分不予退货，超过部分的货款按照发包人实际采购单价计算，由承包人承担</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187" w:name="_Toc7319"/>
      <w:r>
        <w:rPr>
          <w:color w:val="auto"/>
          <w:highlight w:val="none"/>
        </w:rPr>
      </w:r>
      <w:bookmarkStart w:id="188" w:name="_Toc13608"/>
      <w:r>
        <w:rPr>
          <w:rFonts w:hint="eastAsia"/>
          <w:color w:val="auto"/>
          <w:szCs w:val="21"/>
          <w:highlight w:val="none"/>
          <w:lang w:eastAsia="zh-CN"/>
        </w:rPr>
        <w:t xml:space="preserve">8.6 样品</w:t>
      </w:r>
      <w:bookmarkEnd w:id="187"/>
      <w:r>
        <w:rPr>
          <w:color w:val="auto"/>
          <w:highlight w:val="none"/>
        </w:rPr>
      </w:r>
      <w:bookmarkEnd w:id="188"/>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8.6.1样品的报送与封存</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需要承包人报送样品的材料或工程设备，样品的种类、名称、规格、数量要求：</w:t>
      </w:r>
      <w:r>
        <w:rPr>
          <w:rFonts w:hint="eastAsia"/>
          <w:color w:val="auto"/>
          <w:szCs w:val="21"/>
          <w:highlight w:val="none"/>
          <w:u w:val="single"/>
          <w:lang w:eastAsia="zh-CN"/>
        </w:rPr>
        <w:t xml:space="preserve">  按发包人需求确定，费用包含在签约合同价中</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189" w:name="_Toc17074"/>
      <w:r>
        <w:rPr>
          <w:color w:val="auto"/>
          <w:highlight w:val="none"/>
        </w:rPr>
      </w:r>
      <w:bookmarkStart w:id="190" w:name="_Toc30273"/>
      <w:r>
        <w:rPr>
          <w:rFonts w:hint="eastAsia"/>
          <w:color w:val="auto"/>
          <w:szCs w:val="21"/>
          <w:highlight w:val="none"/>
          <w:lang w:eastAsia="zh-CN"/>
        </w:rPr>
        <w:t xml:space="preserve">8.8 施工设备和临时设施</w:t>
      </w:r>
      <w:bookmarkEnd w:id="189"/>
      <w:r>
        <w:rPr>
          <w:color w:val="auto"/>
          <w:highlight w:val="none"/>
        </w:rPr>
      </w:r>
      <w:bookmarkEnd w:id="190"/>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8.8.1 承包人提供的施工设备和临时设施</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关于修建临时设施费用承担的约定：</w:t>
      </w:r>
      <w:r>
        <w:rPr>
          <w:rFonts w:hint="eastAsia"/>
          <w:color w:val="auto"/>
          <w:szCs w:val="21"/>
          <w:highlight w:val="none"/>
          <w:u w:val="single"/>
          <w:lang w:eastAsia="zh-CN"/>
        </w:rPr>
        <w:t xml:space="preserve">承包人负责施工临时设施、环保及环卫的相关手续，由承包人办理报批手续，并承担与之相关费用</w:t>
      </w:r>
      <w:r>
        <w:rPr>
          <w:rFonts w:hint="eastAsia"/>
          <w:color w:val="auto"/>
          <w:szCs w:val="21"/>
          <w:highlight w:val="none"/>
          <w:lang w:eastAsia="zh-CN"/>
        </w:rPr>
        <w:t xml:space="preserve">。</w:t>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9. 试验与检验</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9.1试验设备与试验人员</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9.1.2 试验设备</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施工现场需要配置的试验场所：</w:t>
      </w:r>
      <w:bookmarkStart w:id="191" w:name="_Toc304295562"/>
      <w:r>
        <w:rPr>
          <w:color w:val="auto"/>
          <w:highlight w:val="none"/>
        </w:rPr>
      </w:r>
      <w:bookmarkStart w:id="192" w:name="_Toc312678024"/>
      <w:r>
        <w:rPr>
          <w:color w:val="auto"/>
          <w:highlight w:val="none"/>
        </w:rPr>
      </w:r>
      <w:bookmarkStart w:id="193" w:name="_Toc297216195"/>
      <w:r>
        <w:rPr>
          <w:color w:val="auto"/>
          <w:highlight w:val="none"/>
        </w:rPr>
      </w:r>
      <w:bookmarkStart w:id="194" w:name="_Toc312677498"/>
      <w:r>
        <w:rPr>
          <w:color w:val="auto"/>
          <w:highlight w:val="none"/>
        </w:rPr>
      </w:r>
      <w:bookmarkStart w:id="195" w:name="_Toc297123536"/>
      <w:r>
        <w:rPr>
          <w:color w:val="auto"/>
          <w:highlight w:val="none"/>
        </w:rPr>
      </w:r>
      <w:bookmarkStart w:id="196" w:name="_Toc300934985"/>
      <w:r>
        <w:rPr>
          <w:color w:val="auto"/>
          <w:highlight w:val="none"/>
        </w:rPr>
      </w:r>
      <w:bookmarkStart w:id="197" w:name="_Toc303539142"/>
      <w:r>
        <w:rPr>
          <w:rFonts w:hint="eastAsia"/>
          <w:color w:val="auto"/>
          <w:szCs w:val="21"/>
          <w:highlight w:val="none"/>
          <w:u w:val="single"/>
          <w:lang w:eastAsia="zh-CN"/>
        </w:rPr>
        <w:t xml:space="preserve">由承包人提供</w:t>
      </w:r>
      <w:r>
        <w:rPr>
          <w:rFonts w:hint="eastAsia"/>
          <w:color w:val="auto"/>
          <w:szCs w:val="21"/>
          <w:highlight w:val="none"/>
          <w:lang w:eastAsia="zh-CN"/>
        </w:rPr>
        <w:t xml:space="preserve">。 </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施工现场需要配备的试验设备：</w:t>
      </w:r>
      <w:r>
        <w:rPr>
          <w:rFonts w:hint="eastAsia"/>
          <w:color w:val="auto"/>
          <w:szCs w:val="21"/>
          <w:highlight w:val="none"/>
          <w:u w:val="single"/>
          <w:lang w:eastAsia="zh-CN"/>
        </w:rPr>
        <w:t xml:space="preserve">由承包人提供</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施工现场需要具备的其他试验条件：</w:t>
      </w:r>
      <w:r>
        <w:rPr>
          <w:rFonts w:hint="eastAsia"/>
          <w:color w:val="auto"/>
          <w:szCs w:val="21"/>
          <w:highlight w:val="none"/>
          <w:u w:val="single"/>
          <w:lang w:eastAsia="zh-CN"/>
        </w:rPr>
        <w:t xml:space="preserve">由承包人提供</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198" w:name="_Toc1178"/>
      <w:r>
        <w:rPr>
          <w:color w:val="auto"/>
          <w:highlight w:val="none"/>
        </w:rPr>
      </w:r>
      <w:bookmarkStart w:id="199" w:name="_Toc10554"/>
      <w:r>
        <w:rPr>
          <w:rFonts w:hint="eastAsia"/>
          <w:color w:val="auto"/>
          <w:szCs w:val="21"/>
          <w:highlight w:val="none"/>
          <w:lang w:eastAsia="zh-CN"/>
        </w:rPr>
        <w:t xml:space="preserve">9.4 现场工艺试验</w:t>
      </w:r>
      <w:bookmarkEnd w:id="198"/>
      <w:r>
        <w:rPr>
          <w:color w:val="auto"/>
          <w:highlight w:val="none"/>
        </w:rPr>
      </w:r>
      <w:bookmarkEnd w:id="199"/>
      <w:r>
        <w:rPr>
          <w:rFonts w:hint="eastAsia"/>
          <w:color w:val="auto"/>
          <w:szCs w:val="21"/>
          <w:highlight w:val="none"/>
          <w:lang w:eastAsia="zh-CN"/>
        </w:rPr>
        <w:t xml:space="preserve"> </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现场工艺试验的有关约定：</w:t>
      </w:r>
      <w:r>
        <w:rPr>
          <w:rFonts w:hint="eastAsia"/>
          <w:color w:val="auto"/>
          <w:szCs w:val="21"/>
          <w:highlight w:val="none"/>
          <w:u w:val="single"/>
          <w:lang w:eastAsia="zh-CN"/>
        </w:rPr>
        <w:t xml:space="preserve">发包人和承包人采购的材料设备在使用前，承包</w:t>
      </w:r>
      <w:r>
        <w:rPr>
          <w:rFonts w:hint="eastAsia"/>
          <w:color w:val="auto"/>
          <w:szCs w:val="21"/>
          <w:highlight w:val="none"/>
          <w:u w:val="single"/>
          <w:lang w:eastAsia="zh-CN"/>
        </w:rPr>
        <w:t xml:space="preserve">人应按发包人的要求进行检验或试验，不合格的不得使用。建筑材料、构配件等试样的制作、封样、送达等由承包人负责；新结构、新材料的试验费，对构件做破坏性试验所发生的试样费用和根据国家标准和施工验收规范要求对材料、构配件和建筑物工程质量检测检验所发生的第三方检测费用，由发包人承担，在工程建设其他费用中列支。但对承包人提供的具有合格证明的材料进行检测不合格的，该检测费由承包人支付。投标人在投标报价时所有材料、构件、工程实体等检验检测费按照相关文件执行，除了采购人已签订的检验检测费合同内容以外的其他检测费用含在报价中。</w:t>
      </w:r>
      <w:bookmarkEnd w:id="191"/>
      <w:r>
        <w:rPr>
          <w:color w:val="auto"/>
        </w:rPr>
      </w:r>
      <w:bookmarkEnd w:id="192"/>
      <w:r>
        <w:rPr>
          <w:color w:val="auto"/>
        </w:rPr>
      </w:r>
      <w:bookmarkEnd w:id="193"/>
      <w:r>
        <w:rPr>
          <w:color w:val="auto"/>
        </w:rPr>
      </w:r>
      <w:bookmarkEnd w:id="194"/>
      <w:r>
        <w:rPr>
          <w:color w:val="auto"/>
        </w:rPr>
      </w:r>
      <w:bookmarkEnd w:id="195"/>
      <w:r>
        <w:rPr>
          <w:color w:val="auto"/>
        </w:rPr>
      </w:r>
      <w:bookmarkEnd w:id="196"/>
      <w:r>
        <w:rPr>
          <w:color w:val="auto"/>
        </w:rPr>
      </w:r>
      <w:bookmarkEnd w:id="197"/>
      <w:r>
        <w:rPr>
          <w:color w:val="auto"/>
        </w:rPr>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10. 变更</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10.1变更的范围</w:t>
      </w:r>
      <w:r>
        <w:rPr>
          <w:color w:val="auto"/>
          <w:highlight w:val="none"/>
        </w:rPr>
      </w:r>
    </w:p>
    <w:p>
      <w:pPr>
        <w:ind w:firstLine="600"/>
        <w:pageBreakBefore w:val="0"/>
        <w:spacing w:line="240" w:lineRule="auto"/>
        <w:rPr>
          <w:color w:val="auto"/>
          <w:szCs w:val="21"/>
          <w:highlight w:val="none"/>
        </w:rPr>
      </w:pPr>
      <w:r>
        <w:rPr>
          <w:rFonts w:hint="eastAsia"/>
          <w:color w:val="auto"/>
          <w:szCs w:val="21"/>
          <w:highlight w:val="none"/>
          <w:lang w:eastAsia="zh-CN"/>
        </w:rPr>
        <w:t xml:space="preserve">关于变更的范围的约定：</w:t>
      </w:r>
      <w:r>
        <w:rPr>
          <w:rFonts w:hint="eastAsia"/>
          <w:color w:val="auto"/>
          <w:szCs w:val="21"/>
          <w:highlight w:val="none"/>
          <w:u w:val="single"/>
          <w:lang w:eastAsia="zh-CN"/>
        </w:rPr>
        <w:t xml:space="preserve">工程中所有的变更，都必须表达清晰，变更内容应详细，能够说明变更的原因、变更的部位、变更的要求、前后的具体做法，设计单位建议标准等，由</w:t>
      </w:r>
      <w:r>
        <w:rPr>
          <w:rFonts w:hint="eastAsia"/>
          <w:color w:val="auto"/>
          <w:szCs w:val="21"/>
          <w:highlight w:val="none"/>
          <w:u w:val="single"/>
          <w:lang w:val="en-US" w:eastAsia="zh-CN"/>
        </w:rPr>
        <w:t xml:space="preserve">发包人</w:t>
      </w:r>
      <w:r>
        <w:rPr>
          <w:rFonts w:hint="eastAsia"/>
          <w:color w:val="auto"/>
          <w:szCs w:val="21"/>
          <w:highlight w:val="none"/>
          <w:u w:val="single"/>
          <w:lang w:eastAsia="zh-CN"/>
        </w:rPr>
        <w:t xml:space="preserve">出具设计变更图或正式通知。对涉及工程</w:t>
      </w:r>
      <w:r>
        <w:rPr>
          <w:rFonts w:hint="eastAsia"/>
          <w:color w:val="auto"/>
          <w:szCs w:val="21"/>
          <w:highlight w:val="none"/>
          <w:u w:val="single"/>
          <w:lang w:eastAsia="zh-CN"/>
        </w:rPr>
        <w:t xml:space="preserve">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化的内容。承包人改变施工工艺、施</w:t>
      </w:r>
      <w:r>
        <w:rPr>
          <w:rFonts w:hint="eastAsia"/>
          <w:color w:val="auto"/>
          <w:szCs w:val="21"/>
          <w:highlight w:val="none"/>
          <w:u w:val="single"/>
          <w:lang w:eastAsia="zh-CN"/>
        </w:rPr>
        <w:t xml:space="preserve">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前必须由承包人向发包人工程师报告；对涉及工程质量、进度的签证，经发包人工程师及负责人签认同意后实施。对涉及工程质量、进度的签证，经监理单位和发包人代表签认同意后实施 。设计变更、工程变更不作为施工过程中支付工程款的依据，待工程竣工结算时调整。</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200" w:name="_Toc9866"/>
      <w:r>
        <w:rPr>
          <w:color w:val="auto"/>
          <w:highlight w:val="none"/>
        </w:rPr>
      </w:r>
      <w:bookmarkStart w:id="201" w:name="_Toc10452"/>
      <w:r>
        <w:rPr>
          <w:rFonts w:hint="eastAsia"/>
          <w:color w:val="auto"/>
          <w:szCs w:val="21"/>
          <w:highlight w:val="none"/>
          <w:lang w:eastAsia="zh-CN"/>
        </w:rPr>
        <w:t xml:space="preserve">10.4 变更估价</w:t>
      </w:r>
      <w:bookmarkEnd w:id="200"/>
      <w:r>
        <w:rPr>
          <w:color w:val="auto"/>
          <w:highlight w:val="none"/>
        </w:rPr>
      </w:r>
      <w:bookmarkEnd w:id="201"/>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10.4.1 变更估价原则</w:t>
      </w:r>
      <w:r>
        <w:rPr>
          <w:color w:val="auto"/>
          <w:highlight w:val="none"/>
        </w:rPr>
      </w:r>
    </w:p>
    <w:p>
      <w:pPr>
        <w:ind w:firstLine="600"/>
        <w:pageBreakBefore w:val="0"/>
        <w:spacing w:line="240" w:lineRule="auto"/>
        <w:rPr>
          <w:rFonts w:hint="eastAsia"/>
          <w:color w:val="auto"/>
          <w:szCs w:val="21"/>
          <w:highlight w:val="none"/>
        </w:rPr>
      </w:pPr>
      <w:r>
        <w:rPr>
          <w:rFonts w:hint="eastAsia"/>
          <w:color w:val="auto"/>
          <w:szCs w:val="21"/>
          <w:highlight w:val="none"/>
          <w:lang w:eastAsia="zh-CN"/>
        </w:rPr>
        <w:t xml:space="preserve">关于变更估价的约定： 因工程变更引起已标价工程量清单项目或其工程数量发生变化时，应按照下列规定调整：</w:t>
      </w:r>
      <w:r>
        <w:rPr>
          <w:color w:val="auto"/>
          <w:highlight w:val="none"/>
        </w:rPr>
      </w:r>
    </w:p>
    <w:p>
      <w:pPr>
        <w:ind w:firstLine="420"/>
        <w:pageBreakBefore w:val="0"/>
        <w:spacing w:line="240" w:lineRule="auto"/>
        <w:rPr>
          <w:rFonts w:hint="eastAsia"/>
          <w:color w:val="auto"/>
          <w:szCs w:val="21"/>
          <w:highlight w:val="none"/>
          <w:u w:val="none"/>
        </w:rPr>
      </w:pPr>
      <w:r>
        <w:rPr>
          <w:rFonts w:hint="eastAsia"/>
          <w:color w:val="auto"/>
          <w:szCs w:val="21"/>
          <w:highlight w:val="none"/>
          <w:u w:val="none"/>
          <w:lang w:eastAsia="zh-CN"/>
        </w:rPr>
        <w:t xml:space="preserve">（1）合同中已有适用的综合单价，按合同中已有的综合单价确定；（指其采用的材料、施工工艺和方法相同，亦不因此增加关键线路上工程的施工时间）</w:t>
      </w:r>
      <w:r>
        <w:rPr>
          <w:color w:val="auto"/>
          <w:highlight w:val="none"/>
        </w:rPr>
      </w:r>
    </w:p>
    <w:p>
      <w:pPr>
        <w:ind w:firstLine="420"/>
        <w:pageBreakBefore w:val="0"/>
        <w:spacing w:line="240" w:lineRule="auto"/>
        <w:rPr>
          <w:rFonts w:hint="eastAsia"/>
          <w:color w:val="auto"/>
          <w:szCs w:val="21"/>
          <w:highlight w:val="none"/>
          <w:u w:val="none"/>
        </w:rPr>
      </w:pPr>
      <w:r>
        <w:rPr>
          <w:rFonts w:hint="eastAsia"/>
          <w:color w:val="auto"/>
          <w:szCs w:val="21"/>
          <w:highlight w:val="none"/>
          <w:u w:val="none"/>
          <w:lang w:eastAsia="zh-CN"/>
        </w:rPr>
        <w:t xml:space="preserve">（2）合同中有类似的综合单价，参照类似的综合单价确定；（指其采用的材料、施工工艺和方法基本相似，不因此增加关键线路上工程的施工时间，可仅就其变更后的差异部分，参考类似的项目单价由发承包双方协商新的项目单价）</w:t>
      </w:r>
      <w:r>
        <w:rPr>
          <w:color w:val="auto"/>
          <w:highlight w:val="none"/>
        </w:rPr>
      </w:r>
    </w:p>
    <w:p>
      <w:pPr>
        <w:ind w:firstLine="420"/>
        <w:pageBreakBefore w:val="0"/>
        <w:spacing w:line="240" w:lineRule="auto"/>
        <w:rPr>
          <w:rFonts w:hint="eastAsia"/>
          <w:color w:val="auto"/>
          <w:szCs w:val="21"/>
          <w:highlight w:val="none"/>
          <w:u w:val="none"/>
        </w:rPr>
      </w:pPr>
      <w:r>
        <w:rPr>
          <w:rFonts w:hint="eastAsia"/>
          <w:color w:val="auto"/>
          <w:szCs w:val="21"/>
          <w:highlight w:val="none"/>
          <w:u w:val="none"/>
          <w:lang w:eastAsia="zh-CN"/>
        </w:rPr>
        <w:t xml:space="preserve">（3）合同中没有适用或类似的综合单价，按以下方法确定综合单价：承包人根据变更工程资料、计量规则和计价办法、工程造价管理机构发布的指导价和承包人报价时浮动率提出综合单价，经发包人确认后执行。如双方不能达成一致的，双方可提请工程所在地工程造价管理机构进行咨询或按合同约定的争议或纠纷解决程序办理。</w:t>
      </w:r>
      <w:r>
        <w:rPr>
          <w:color w:val="auto"/>
          <w:highlight w:val="none"/>
        </w:rPr>
      </w:r>
    </w:p>
    <w:p>
      <w:pPr>
        <w:ind w:firstLine="420"/>
        <w:pageBreakBefore w:val="0"/>
        <w:spacing w:line="240" w:lineRule="auto"/>
        <w:rPr>
          <w:rFonts w:hint="eastAsia"/>
          <w:color w:val="auto"/>
          <w:szCs w:val="21"/>
          <w:highlight w:val="none"/>
          <w:u w:val="none"/>
        </w:rPr>
      </w:pPr>
      <w:r>
        <w:rPr>
          <w:rFonts w:hint="eastAsia"/>
          <w:color w:val="auto"/>
          <w:szCs w:val="21"/>
          <w:highlight w:val="none"/>
          <w:u w:val="none"/>
          <w:lang w:eastAsia="zh-CN"/>
        </w:rPr>
        <w:t xml:space="preserve">（4）因工程变更引起的工程量增减，其综合单价不变，不予调整。</w:t>
      </w:r>
      <w:r>
        <w:rPr>
          <w:color w:val="auto"/>
          <w:highlight w:val="none"/>
        </w:rPr>
      </w:r>
    </w:p>
    <w:p>
      <w:pPr>
        <w:ind w:firstLine="420"/>
        <w:pageBreakBefore w:val="0"/>
        <w:spacing w:line="240" w:lineRule="auto"/>
        <w:rPr>
          <w:rFonts w:hint="eastAsia"/>
          <w:color w:val="auto"/>
          <w:szCs w:val="21"/>
          <w:highlight w:val="none"/>
          <w:u w:val="none"/>
        </w:rPr>
      </w:pPr>
      <w:r>
        <w:rPr>
          <w:rFonts w:hint="eastAsia"/>
          <w:color w:val="auto"/>
          <w:szCs w:val="21"/>
          <w:highlight w:val="none"/>
          <w:u w:val="none"/>
          <w:lang w:eastAsia="zh-CN"/>
        </w:rPr>
        <w:t xml:space="preserve">（5）合同中包括可能存在的一切措施项目费，安全文明施工费中的基本费和标化增加费在工程结算时按造价管理部门核定的等级计取，措施项目费中的总价措施项目无论在什么情况下均不予以调整。</w:t>
      </w:r>
      <w:r>
        <w:rPr>
          <w:color w:val="auto"/>
          <w:highlight w:val="none"/>
        </w:rPr>
      </w:r>
    </w:p>
    <w:p>
      <w:pPr>
        <w:ind w:firstLine="420"/>
        <w:pageBreakBefore w:val="0"/>
        <w:spacing w:line="240" w:lineRule="auto"/>
        <w:rPr>
          <w:rFonts w:hint="eastAsia"/>
          <w:color w:val="auto"/>
          <w:szCs w:val="21"/>
          <w:highlight w:val="none"/>
          <w:u w:val="none"/>
        </w:rPr>
      </w:pPr>
      <w:r>
        <w:rPr>
          <w:rFonts w:hint="eastAsia"/>
          <w:color w:val="auto"/>
          <w:szCs w:val="21"/>
          <w:highlight w:val="none"/>
          <w:u w:val="none"/>
          <w:lang w:eastAsia="zh-CN"/>
        </w:rPr>
        <w:t xml:space="preserve">（6）投标报价中已包含所有施工中墙体开洞、开槽、抹灰等费用，不予调整。</w:t>
      </w:r>
      <w:r>
        <w:rPr>
          <w:color w:val="auto"/>
          <w:highlight w:val="none"/>
        </w:rPr>
      </w:r>
    </w:p>
    <w:p>
      <w:pPr>
        <w:ind w:firstLine="420"/>
        <w:pageBreakBefore w:val="0"/>
        <w:spacing w:line="240" w:lineRule="auto"/>
        <w:rPr>
          <w:rFonts w:hint="eastAsia"/>
          <w:color w:val="auto"/>
          <w:szCs w:val="21"/>
          <w:highlight w:val="none"/>
          <w:u w:val="none"/>
        </w:rPr>
      </w:pPr>
      <w:r>
        <w:rPr>
          <w:rFonts w:hint="eastAsia"/>
          <w:color w:val="auto"/>
          <w:szCs w:val="21"/>
          <w:highlight w:val="none"/>
          <w:u w:val="none"/>
          <w:lang w:eastAsia="zh-CN"/>
        </w:rPr>
        <w:t xml:space="preserve">（7）所有的工程变更及签证须经发包人规定审批流程书面确认同意。经发包人、承包人、审计单位共同确定调整的工程价款，不与工程进度款同期支付，待工程结算后一并支付。</w:t>
      </w:r>
      <w:r>
        <w:rPr>
          <w:color w:val="auto"/>
          <w:highlight w:val="none"/>
        </w:rPr>
      </w:r>
    </w:p>
    <w:p>
      <w:pPr>
        <w:ind w:firstLine="420"/>
        <w:pageBreakBefore w:val="0"/>
        <w:spacing w:line="240" w:lineRule="auto"/>
        <w:rPr>
          <w:rFonts w:hint="eastAsia"/>
          <w:color w:val="auto"/>
          <w:szCs w:val="21"/>
          <w:highlight w:val="none"/>
          <w:u w:val="none"/>
        </w:rPr>
      </w:pPr>
      <w:r>
        <w:rPr>
          <w:rFonts w:hint="eastAsia"/>
          <w:color w:val="auto"/>
          <w:szCs w:val="21"/>
          <w:highlight w:val="none"/>
          <w:u w:val="none"/>
          <w:lang w:eastAsia="zh-CN"/>
        </w:rPr>
        <w:t xml:space="preserve">（8）发包人有权对工程有关内容进行变更。因设计变更及发包人提出的工程量的增减或材料品种、规格、产地的变化须做调整的，经发包人确认后按实调整。但发包人须提前一周送交变更通知，如不能按期提前通知而影响施工，由承、发包双方及监理单位三方确认后，工期顺延。</w:t>
      </w:r>
      <w:r>
        <w:rPr>
          <w:color w:val="auto"/>
          <w:highlight w:val="none"/>
        </w:rPr>
      </w:r>
    </w:p>
    <w:p>
      <w:pPr>
        <w:ind w:firstLine="420"/>
        <w:pageBreakBefore w:val="0"/>
        <w:spacing w:line="240" w:lineRule="auto"/>
        <w:rPr>
          <w:rFonts w:hint="eastAsia"/>
          <w:color w:val="auto"/>
          <w:szCs w:val="21"/>
          <w:highlight w:val="none"/>
          <w:u w:val="none"/>
        </w:rPr>
      </w:pPr>
      <w:r>
        <w:rPr>
          <w:rFonts w:hint="eastAsia"/>
          <w:color w:val="auto"/>
          <w:szCs w:val="21"/>
          <w:highlight w:val="none"/>
          <w:u w:val="none"/>
          <w:lang w:eastAsia="zh-CN"/>
        </w:rPr>
        <w:t xml:space="preserve">（9）若承包人在施工期间对发包人提出的变更不予执行，视同承包人违约，每次发包人罚承包人违约金1万元，从结算审计中直接扣除。违约累计超过3次后，发包人有权中止合同，除追究承包人相应的责任外并要求赔偿一切损失。</w:t>
      </w:r>
      <w:r>
        <w:rPr>
          <w:color w:val="auto"/>
          <w:highlight w:val="none"/>
        </w:rPr>
      </w:r>
    </w:p>
    <w:p>
      <w:pPr>
        <w:pStyle w:val="723"/>
        <w:pageBreakBefore w:val="0"/>
        <w:spacing w:line="240" w:lineRule="auto"/>
        <w:rPr>
          <w:color w:val="auto"/>
          <w:highlight w:val="none"/>
        </w:rPr>
      </w:pPr>
      <w:r>
        <w:rPr>
          <w:color w:val="auto"/>
          <w:highlight w:val="none"/>
          <w:lang w:eastAsia="zh-CN"/>
        </w:rPr>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10.5承包人的合理化建议</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发包人审批承包人合理化建议的期限：</w:t>
      </w:r>
      <w:r>
        <w:rPr>
          <w:rFonts w:hint="eastAsia"/>
          <w:color w:val="auto"/>
          <w:szCs w:val="21"/>
          <w:highlight w:val="none"/>
          <w:u w:val="single"/>
          <w:lang w:eastAsia="zh-CN"/>
        </w:rPr>
        <w:t xml:space="preserve">收到承包人提交的合理化建议后7日内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承包人提出的合理化建议降低了合同价格或者提高了</w:t>
      </w:r>
      <w:r>
        <w:rPr>
          <w:rFonts w:hint="eastAsia"/>
          <w:color w:val="auto"/>
          <w:szCs w:val="21"/>
          <w:highlight w:val="none"/>
          <w:lang w:val="en-US" w:eastAsia="zh-CN"/>
        </w:rPr>
        <w:t xml:space="preserve">工程</w:t>
      </w:r>
      <w:r>
        <w:rPr>
          <w:rFonts w:hint="eastAsia"/>
          <w:color w:val="auto"/>
          <w:szCs w:val="21"/>
          <w:highlight w:val="none"/>
          <w:lang w:eastAsia="zh-CN"/>
        </w:rPr>
        <w:t xml:space="preserve">经济效益的奖励的方法和金额为：</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202" w:name="_Toc10643"/>
      <w:r>
        <w:rPr>
          <w:color w:val="auto"/>
          <w:highlight w:val="none"/>
        </w:rPr>
      </w:r>
      <w:bookmarkStart w:id="203" w:name="_Toc16837"/>
      <w:r>
        <w:rPr>
          <w:rFonts w:hint="eastAsia"/>
          <w:color w:val="auto"/>
          <w:szCs w:val="21"/>
          <w:highlight w:val="none"/>
          <w:lang w:eastAsia="zh-CN"/>
        </w:rPr>
        <w:t xml:space="preserve">10.7 暂估价</w:t>
      </w:r>
      <w:bookmarkEnd w:id="202"/>
      <w:r>
        <w:rPr>
          <w:color w:val="auto"/>
          <w:highlight w:val="none"/>
        </w:rPr>
      </w:r>
      <w:bookmarkEnd w:id="203"/>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暂估价材料和工程设备的明细详见附件11：《暂估价一览表》。</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10.7.1 依法必须招标的暂估价项目</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以专业工程暂估价、材料（工程设备）暂估价形式包括在本次招标范围内的工程、货物属于依法必须进行招标的项目范围的，应当依法进行招标。暂估价项目的招标主体为发包人，发包人另行组织招标。</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10.7.2 不属于依法必须招标的暂估价项目</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材料设备暂估价由发包人定质定价，承包人负责采购；专业工程暂估价由发包人采用招标或询价的形式确定专业承包人。暂定价材料设备二次搬运及现场保管、清理等发生的费用，由承包人在投标报价中已自行考虑。</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10.8 暂列金额</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合同当事人关于暂列金额使用的约定：</w:t>
      </w:r>
      <w:r>
        <w:rPr>
          <w:rFonts w:hint="eastAsia"/>
          <w:color w:val="auto"/>
          <w:szCs w:val="21"/>
          <w:highlight w:val="none"/>
          <w:u w:val="single"/>
          <w:lang w:eastAsia="zh-CN"/>
        </w:rPr>
        <w:t xml:space="preserve">由发包人确定使用项目和金额，结算时按实调整    </w:t>
      </w:r>
      <w:r>
        <w:rPr>
          <w:rFonts w:hint="eastAsia"/>
          <w:color w:val="auto"/>
          <w:szCs w:val="21"/>
          <w:highlight w:val="none"/>
          <w:lang w:eastAsia="zh-CN"/>
        </w:rPr>
        <w:t xml:space="preserve">。</w:t>
      </w:r>
      <w:r>
        <w:rPr>
          <w:color w:val="auto"/>
          <w:highlight w:val="none"/>
        </w:rPr>
      </w:r>
    </w:p>
    <w:p>
      <w:pPr>
        <w:pStyle w:val="712"/>
        <w:pageBreakBefore w:val="0"/>
        <w:spacing w:before="120" w:after="120" w:line="240" w:lineRule="auto"/>
        <w:widowControl/>
        <w:rPr>
          <w:b w:val="0"/>
          <w:color w:val="auto"/>
          <w:szCs w:val="21"/>
          <w:highlight w:val="none"/>
        </w:rPr>
      </w:pPr>
      <w:r>
        <w:rPr>
          <w:color w:val="auto"/>
          <w:highlight w:val="none"/>
        </w:rPr>
      </w:r>
      <w:bookmarkStart w:id="204" w:name="_Toc351203643"/>
      <w:r>
        <w:rPr>
          <w:rFonts w:hint="eastAsia"/>
          <w:b w:val="0"/>
          <w:color w:val="auto"/>
          <w:szCs w:val="21"/>
          <w:highlight w:val="none"/>
          <w:lang w:eastAsia="zh-CN"/>
        </w:rPr>
        <w:t xml:space="preserve">11. 价格调整</w:t>
      </w:r>
      <w:bookmarkEnd w:id="204"/>
      <w:r>
        <w:rPr>
          <w:color w:val="auto"/>
          <w:highlight w:val="none"/>
        </w:rPr>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11.1 市场价格波动引起的调整：</w:t>
      </w:r>
      <w:r>
        <w:rPr>
          <w:rFonts w:hint="eastAsia"/>
          <w:b/>
          <w:bCs/>
          <w:color w:val="auto"/>
          <w:szCs w:val="21"/>
          <w:highlight w:val="none"/>
          <w:u w:val="single"/>
          <w:lang w:eastAsia="zh-CN"/>
        </w:rPr>
        <w:t xml:space="preserve"> 不调</w:t>
      </w:r>
      <w:r>
        <w:rPr>
          <w:rFonts w:hint="eastAsia"/>
          <w:b/>
          <w:color w:val="auto"/>
          <w:szCs w:val="21"/>
          <w:highlight w:val="none"/>
          <w:u w:val="single"/>
          <w:lang w:eastAsia="zh-CN"/>
        </w:rPr>
        <w:t xml:space="preserve">整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11.1.2因发包人原因造成工期顺延的，顺延期间发生的指导价上涨差额由发包人承担；因承包人原因造成工期延误的，延误期间发生的指导价上涨差额由承包人承担。</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11.1.3风险范围以外合同价款调整方法：</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调整范围：发包人要求增加的工程内容按实调整。</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调整方法：</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（1）合同中已有适用于变更工程的价格，按合同已有的价格计算、变更合同价款；</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（2）合同中只有类似于变更工程的价格，可以参照此价格确定变更合同价款；</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3）合同中没有适用或类似于变更工程的价格，参照《江苏省建筑与装饰工程计价表》、《江苏省安装工程计价表》（2014），费率标准执行14费用定额的下限值，材料价格执行实际施工基准日的当月建设行政管理部门颁发的指导价（没有指导价的执行经双方调研认可的市场价），以及相应文件规定计算。按上述规定计算出工程造价由发包人审核后并按投标时的下浮</w:t>
      </w:r>
      <w:r>
        <w:rPr>
          <w:rFonts w:hint="eastAsia"/>
          <w:color w:val="auto"/>
          <w:szCs w:val="21"/>
          <w:highlight w:val="none"/>
          <w:lang w:val="en-US" w:eastAsia="zh-CN"/>
        </w:rPr>
        <w:t xml:space="preserve">率</w:t>
      </w:r>
      <w:r>
        <w:rPr>
          <w:rFonts w:hint="eastAsia"/>
          <w:color w:val="auto"/>
          <w:szCs w:val="21"/>
          <w:highlight w:val="none"/>
          <w:lang w:eastAsia="zh-CN"/>
        </w:rPr>
        <w:t xml:space="preserve">作为与发包人结算的依据（共同定价材料、规费、税金不下浮）；未经发包人确认的不得作为结算依据。</w:t>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12. 合同价格、计量与支付</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12.1 合同价格形式</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1、单价合同。</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采用</w:t>
      </w:r>
      <w:r>
        <w:rPr>
          <w:rFonts w:hint="eastAsia"/>
          <w:b/>
          <w:color w:val="auto"/>
          <w:szCs w:val="21"/>
          <w:highlight w:val="none"/>
          <w:u w:val="single"/>
          <w:lang w:eastAsia="zh-CN"/>
        </w:rPr>
        <w:t xml:space="preserve"> 固定单价 </w:t>
      </w:r>
      <w:r>
        <w:rPr>
          <w:rFonts w:hint="eastAsia"/>
          <w:color w:val="auto"/>
          <w:szCs w:val="21"/>
          <w:highlight w:val="none"/>
          <w:lang w:eastAsia="zh-CN"/>
        </w:rPr>
        <w:t xml:space="preserve">报价，固定单价为综合单价（综合单价包括人工费、材料费、机械费、检测费、管理费、利润、约定范围的风险费用），投标人应根据招标文件要求及充分踏勘施工现场条件，在投标报价时应充分考虑施工期间各类人工、材料、机械的市场风险等计入单价报价，结算时综合单价不再调整。</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综合单价包含的风险范围：</w:t>
      </w:r>
      <w:r>
        <w:rPr>
          <w:rFonts w:hint="eastAsia"/>
          <w:color w:val="auto"/>
          <w:szCs w:val="21"/>
          <w:highlight w:val="none"/>
          <w:u w:val="single"/>
          <w:lang w:eastAsia="zh-CN"/>
        </w:rPr>
        <w:t xml:space="preserve">各类人工、材料、机械的市场风险</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风险费用的计算方法：</w:t>
      </w:r>
      <w:r>
        <w:rPr>
          <w:rFonts w:hint="eastAsia"/>
          <w:color w:val="auto"/>
          <w:szCs w:val="21"/>
          <w:highlight w:val="none"/>
          <w:u w:val="single"/>
          <w:lang w:eastAsia="zh-CN"/>
        </w:rPr>
        <w:t xml:space="preserve">承包人投标时应自行充分考虑风险，除不可抗力及发包人风险外，不再调整。风险费用已包含在合同价格中。</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风险范围以外合同价格的调整方法：承包人投标时应自行充分考虑风险，除不可抗力及发包人风险外，今后不作调整。风险范围以外合同价格的调整方法：</w:t>
      </w:r>
      <w:r>
        <w:rPr>
          <w:rFonts w:hint="eastAsia"/>
          <w:b/>
          <w:color w:val="auto"/>
          <w:szCs w:val="21"/>
          <w:highlight w:val="none"/>
          <w:u w:val="single"/>
          <w:lang w:eastAsia="zh-CN"/>
        </w:rPr>
        <w:t xml:space="preserve">参见本合同第1.13条的相关约定</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12.2 预付款</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12.2.1 预付款的支付</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预付款支付比例或金额：</w:t>
      </w:r>
      <w:r>
        <w:rPr>
          <w:rFonts w:hint="eastAsia"/>
          <w:color w:val="auto"/>
          <w:szCs w:val="21"/>
          <w:highlight w:val="none"/>
          <w:u w:val="single"/>
          <w:lang w:eastAsia="zh-CN"/>
        </w:rPr>
        <w:t xml:space="preserve"> </w:t>
      </w:r>
      <w:r>
        <w:rPr>
          <w:rFonts w:hint="eastAsia"/>
          <w:color w:val="auto"/>
          <w:szCs w:val="21"/>
          <w:highlight w:val="none"/>
          <w:u w:val="single"/>
          <w:lang w:val="en-US" w:eastAsia="zh-CN"/>
        </w:rPr>
        <w:t xml:space="preserve">合同价款的10%</w:t>
      </w:r>
      <w:r>
        <w:rPr>
          <w:rFonts w:hint="eastAsia"/>
          <w:color w:val="auto"/>
          <w:szCs w:val="21"/>
          <w:highlight w:val="none"/>
          <w:u w:val="single"/>
          <w:lang w:eastAsia="zh-CN"/>
        </w:rPr>
        <w:t xml:space="preserve">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预付款支付期限：</w:t>
      </w:r>
      <w:r>
        <w:rPr>
          <w:rFonts w:hint="eastAsia"/>
          <w:color w:val="auto"/>
          <w:szCs w:val="21"/>
          <w:highlight w:val="none"/>
          <w:u w:val="single"/>
          <w:lang w:eastAsia="zh-CN"/>
        </w:rPr>
        <w:t xml:space="preserve">  </w:t>
      </w:r>
      <w:r>
        <w:rPr>
          <w:rFonts w:hint="eastAsia"/>
          <w:color w:val="auto"/>
          <w:szCs w:val="21"/>
          <w:highlight w:val="none"/>
          <w:u w:val="single"/>
          <w:lang w:val="en-US" w:eastAsia="zh-CN"/>
        </w:rPr>
        <w:t xml:space="preserve">合同签订后7日内</w:t>
      </w:r>
      <w:r>
        <w:rPr>
          <w:rFonts w:hint="eastAsia"/>
          <w:color w:val="auto"/>
          <w:szCs w:val="21"/>
          <w:highlight w:val="none"/>
          <w:u w:val="single"/>
          <w:lang w:eastAsia="zh-CN"/>
        </w:rPr>
        <w:t xml:space="preserve">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预付款扣回的方式：</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12.2.2 预付款担保</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承包人提交预付款担保的期限：</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预付款担保的形式为：</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12.3 计量</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12.3.1 计量原则</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工程量计算规则：</w:t>
      </w:r>
      <w:r>
        <w:rPr>
          <w:rFonts w:hint="eastAsia"/>
          <w:color w:val="auto"/>
          <w:szCs w:val="21"/>
          <w:highlight w:val="none"/>
          <w:u w:val="single"/>
          <w:lang w:eastAsia="zh-CN"/>
        </w:rPr>
        <w:t xml:space="preserve">工程量计算规则执行国家标准《建设工程工程量清单计价规范》（GB50500-2013）及2014年江苏省计价定额中工程量计算规则、现行计价定额及相关图集；承包人实际完成的工程量按约定的工程量计算规则和有合同约束力的图纸进行计量。</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12.3.2 计量周期</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关于计量周期的约定：</w:t>
      </w:r>
      <w:r>
        <w:rPr>
          <w:rFonts w:hint="eastAsia"/>
          <w:color w:val="auto"/>
          <w:szCs w:val="21"/>
          <w:highlight w:val="none"/>
          <w:u w:val="single"/>
          <w:lang w:eastAsia="zh-CN"/>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w:t>
      </w:r>
      <w:r>
        <w:rPr>
          <w:rFonts w:hint="eastAsia"/>
          <w:color w:val="auto"/>
          <w:highlight w:val="none"/>
          <w:u w:val="single"/>
          <w:lang w:eastAsia="zh-CN"/>
        </w:rPr>
        <w:t xml:space="preserve">竣工结算审计</w:t>
      </w:r>
      <w:r>
        <w:rPr>
          <w:rFonts w:hint="eastAsia"/>
          <w:color w:val="auto"/>
          <w:szCs w:val="21"/>
          <w:highlight w:val="none"/>
          <w:u w:val="single"/>
          <w:lang w:eastAsia="zh-CN"/>
        </w:rPr>
        <w:t xml:space="preserve">中向发包人支付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12.3.3 单价合同的计量</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关于单价合同计量的约定：</w:t>
      </w:r>
      <w:r>
        <w:rPr>
          <w:rFonts w:hint="eastAsia"/>
          <w:color w:val="auto"/>
          <w:szCs w:val="21"/>
          <w:highlight w:val="none"/>
          <w:u w:val="single"/>
          <w:lang w:eastAsia="zh-CN"/>
        </w:rPr>
        <w:t xml:space="preserve">    工程量按实计量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12.4 工程进度款支付</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12.4.1 付款周期</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关于付款周期的约定：</w:t>
      </w:r>
      <w:r>
        <w:rPr>
          <w:color w:val="auto"/>
          <w:highlight w:val="none"/>
        </w:rPr>
      </w:r>
    </w:p>
    <w:p>
      <w:pPr>
        <w:ind w:firstLine="402"/>
        <w:pageBreakBefore w:val="0"/>
        <w:spacing w:line="240" w:lineRule="auto"/>
        <w:rPr>
          <w:rFonts w:hint="eastAsia"/>
          <w:b/>
          <w:bCs w:val="0"/>
          <w:color w:val="auto"/>
          <w:szCs w:val="21"/>
          <w:highlight w:val="none"/>
          <w:u w:val="single"/>
        </w:rPr>
      </w:pPr>
      <w:r>
        <w:rPr>
          <w:rFonts w:hint="eastAsia"/>
          <w:b/>
          <w:color w:val="auto"/>
          <w:sz w:val="20"/>
          <w:szCs w:val="20"/>
          <w:highlight w:val="none"/>
          <w:u w:val="single"/>
          <w:lang w:eastAsia="zh-CN"/>
        </w:rPr>
        <w:t xml:space="preserve">12.4.1.</w:t>
      </w:r>
      <w:r>
        <w:rPr>
          <w:rFonts w:hint="eastAsia"/>
          <w:b/>
          <w:bCs w:val="0"/>
          <w:color w:val="auto"/>
          <w:sz w:val="20"/>
          <w:szCs w:val="20"/>
          <w:highlight w:val="none"/>
          <w:u w:val="single"/>
          <w:lang w:eastAsia="zh-CN"/>
        </w:rPr>
        <w:t xml:space="preserve">1</w:t>
      </w:r>
      <w:r>
        <w:rPr>
          <w:rFonts w:ascii="Segoe UI" w:hAnsi="Segoe UI" w:eastAsia="Segoe UI" w:cs="Segoe UI"/>
          <w:b/>
          <w:bCs/>
          <w:i w:val="0"/>
          <w:iCs w:val="0"/>
          <w:caps w:val="0"/>
          <w:color w:val="auto"/>
          <w:spacing w:val="0"/>
          <w:sz w:val="22"/>
          <w:szCs w:val="22"/>
          <w:highlight w:val="none"/>
          <w:shd w:val="clear" w:color="auto" w:fill="ffffff"/>
        </w:rPr>
        <w:t xml:space="preserve">本合同签订后，甲方向乙方支付合同价款</w:t>
      </w:r>
      <w:r>
        <w:rPr>
          <w:rFonts w:hint="eastAsia" w:ascii="Segoe UI" w:hAnsi="Segoe UI" w:eastAsia="宋体" w:cs="Segoe UI"/>
          <w:b/>
          <w:bCs/>
          <w:i w:val="0"/>
          <w:iCs w:val="0"/>
          <w:caps w:val="0"/>
          <w:color w:val="auto"/>
          <w:spacing w:val="0"/>
          <w:sz w:val="22"/>
          <w:szCs w:val="22"/>
          <w:highlight w:val="none"/>
          <w:shd w:val="clear" w:color="auto" w:fill="ffffff"/>
          <w:lang w:val="en-US" w:eastAsia="zh-CN"/>
        </w:rPr>
        <w:t xml:space="preserve">1</w:t>
      </w:r>
      <w:r>
        <w:rPr>
          <w:rFonts w:ascii="Segoe UI" w:hAnsi="Segoe UI" w:eastAsia="Segoe UI" w:cs="Segoe UI"/>
          <w:b/>
          <w:bCs/>
          <w:i w:val="0"/>
          <w:iCs w:val="0"/>
          <w:caps w:val="0"/>
          <w:color w:val="auto"/>
          <w:spacing w:val="0"/>
          <w:sz w:val="22"/>
          <w:szCs w:val="22"/>
          <w:highlight w:val="none"/>
          <w:shd w:val="clear" w:color="auto" w:fill="ffffff"/>
        </w:rPr>
        <w:t xml:space="preserve">0%的预付款；工程完工并经甲方及相关供电部门验收合格后，付款至合同价款的85%；工程结算经审计完成后，付款至审定金额的97%；余款作为质量保证金，待质保期满且无质量问题后一次性无息付清。</w:t>
      </w:r>
      <w:r>
        <w:rPr>
          <w:color w:val="auto"/>
          <w:highlight w:val="none"/>
        </w:rPr>
      </w:r>
    </w:p>
    <w:p>
      <w:pPr>
        <w:ind w:firstLine="422"/>
        <w:pageBreakBefore w:val="0"/>
        <w:spacing w:line="240" w:lineRule="auto"/>
        <w:rPr>
          <w:b/>
          <w:color w:val="auto"/>
          <w:szCs w:val="21"/>
          <w:highlight w:val="none"/>
          <w:u w:val="single"/>
        </w:rPr>
      </w:pPr>
      <w:r>
        <w:rPr>
          <w:rFonts w:hint="eastAsia"/>
          <w:b/>
          <w:color w:val="auto"/>
          <w:szCs w:val="21"/>
          <w:highlight w:val="none"/>
          <w:u w:val="single"/>
          <w:lang w:eastAsia="zh-CN"/>
        </w:rPr>
        <w:t xml:space="preserve">12.4.1.2承包人必须保证施工期间的民工工资发放，每次支付工程进度款时必须在上报已完工程量的报告中单列人工费，并办理已支付民工工资相关确认手续。若出现拖欠民工工资发包人有权从工程进度款</w:t>
      </w:r>
      <w:r>
        <w:rPr>
          <w:rFonts w:hint="eastAsia"/>
          <w:b/>
          <w:color w:val="auto"/>
          <w:szCs w:val="21"/>
          <w:highlight w:val="none"/>
          <w:u w:val="single"/>
          <w:lang w:val="en-US" w:eastAsia="zh-CN"/>
        </w:rPr>
        <w:t xml:space="preserve">中</w:t>
      </w:r>
      <w:r>
        <w:rPr>
          <w:rFonts w:hint="eastAsia"/>
          <w:b/>
          <w:color w:val="auto"/>
          <w:szCs w:val="21"/>
          <w:highlight w:val="none"/>
          <w:u w:val="single"/>
          <w:lang w:eastAsia="zh-CN"/>
        </w:rPr>
        <w:t xml:space="preserve">扣除拖欠的民工工资。</w:t>
      </w:r>
      <w:r>
        <w:rPr>
          <w:color w:val="auto"/>
          <w:highlight w:val="none"/>
        </w:rPr>
      </w:r>
    </w:p>
    <w:p>
      <w:pPr>
        <w:ind w:firstLine="422"/>
        <w:pageBreakBefore w:val="0"/>
        <w:spacing w:line="240" w:lineRule="auto"/>
        <w:rPr>
          <w:b/>
          <w:color w:val="auto"/>
          <w:szCs w:val="21"/>
          <w:highlight w:val="none"/>
          <w:u w:val="single"/>
        </w:rPr>
      </w:pPr>
      <w:r>
        <w:rPr>
          <w:rFonts w:hint="eastAsia"/>
          <w:b/>
          <w:color w:val="auto"/>
          <w:szCs w:val="21"/>
          <w:highlight w:val="none"/>
          <w:u w:val="single"/>
          <w:lang w:eastAsia="zh-CN"/>
        </w:rPr>
        <w:t xml:space="preserve">12.4.1.3工程施工进行中每笔工程付款承包人必须开具增值税发票，否则不予付款。</w:t>
      </w:r>
      <w:r>
        <w:rPr>
          <w:color w:val="auto"/>
          <w:highlight w:val="none"/>
        </w:rPr>
      </w:r>
    </w:p>
    <w:p>
      <w:pPr>
        <w:ind w:firstLine="422"/>
        <w:pageBreakBefore w:val="0"/>
        <w:spacing w:line="240" w:lineRule="auto"/>
        <w:rPr>
          <w:b/>
          <w:color w:val="auto"/>
          <w:szCs w:val="21"/>
          <w:highlight w:val="none"/>
          <w:u w:val="single"/>
        </w:rPr>
      </w:pPr>
      <w:r>
        <w:rPr>
          <w:rFonts w:hint="eastAsia"/>
          <w:b/>
          <w:color w:val="auto"/>
          <w:szCs w:val="21"/>
          <w:highlight w:val="none"/>
          <w:u w:val="single"/>
          <w:lang w:eastAsia="zh-CN"/>
        </w:rPr>
        <w:t xml:space="preserve">12.4.1.4承包人应给予发包人必要的工程款支付期限，以便发包人办理支付申请手续。</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12.4.2 进度付款申请单的编制</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关于进度付款申请单编制的约定：</w:t>
      </w:r>
      <w:r>
        <w:rPr>
          <w:rFonts w:hint="eastAsia"/>
          <w:color w:val="auto"/>
          <w:szCs w:val="21"/>
          <w:highlight w:val="none"/>
          <w:u w:val="single"/>
          <w:lang w:eastAsia="zh-CN"/>
        </w:rPr>
        <w:t xml:space="preserve">按发包人规定的工作流程及要求执行</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12.4.3 进度付款申请单的提交</w:t>
      </w:r>
      <w:r>
        <w:rPr>
          <w:color w:val="auto"/>
          <w:highlight w:val="none"/>
        </w:rPr>
      </w:r>
    </w:p>
    <w:p>
      <w:pPr>
        <w:ind w:firstLine="422"/>
        <w:pageBreakBefore w:val="0"/>
        <w:spacing w:line="240" w:lineRule="auto"/>
        <w:rPr>
          <w:b/>
          <w:bCs/>
          <w:color w:val="auto"/>
          <w:szCs w:val="21"/>
          <w:highlight w:val="none"/>
        </w:rPr>
      </w:pPr>
      <w:r>
        <w:rPr>
          <w:rFonts w:hint="eastAsia"/>
          <w:b/>
          <w:bCs/>
          <w:color w:val="auto"/>
          <w:szCs w:val="21"/>
          <w:highlight w:val="none"/>
          <w:lang w:eastAsia="zh-CN"/>
        </w:rPr>
        <w:t xml:space="preserve">（1）单价合同进度付款申请单提交的约定：</w:t>
      </w:r>
      <w:r>
        <w:rPr>
          <w:rFonts w:hint="eastAsia"/>
          <w:b/>
          <w:bCs/>
          <w:color w:val="auto"/>
          <w:szCs w:val="21"/>
          <w:highlight w:val="none"/>
          <w:u w:val="single"/>
          <w:lang w:val="en-US" w:eastAsia="zh-CN"/>
        </w:rPr>
        <w:t xml:space="preserve">无进度款</w:t>
      </w:r>
      <w:r>
        <w:rPr>
          <w:rFonts w:hint="eastAsia"/>
          <w:b/>
          <w:bCs/>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（2）总价合同进度付款申请单提交的约定：</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（3）其他价格形式合同进度付款申请单提交的约定：</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12.4.4 进度款审核和支付：</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2、总价合同支付分解表的编制与审批：</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3、单价合同的总价项目支付分解表的编制与审批：</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12.4.7本工程实行按质论价，计取方式：</w:t>
      </w:r>
      <w:r>
        <w:rPr>
          <w:rFonts w:hint="eastAsia"/>
          <w:b/>
          <w:bCs/>
          <w:color w:val="auto"/>
          <w:szCs w:val="21"/>
          <w:highlight w:val="none"/>
          <w:u w:val="single"/>
          <w:lang w:eastAsia="zh-CN"/>
        </w:rPr>
        <w:t xml:space="preserve">由发承包双方协商确定</w:t>
      </w:r>
      <w:r>
        <w:rPr>
          <w:rFonts w:hint="eastAsia"/>
          <w:color w:val="auto"/>
          <w:szCs w:val="21"/>
          <w:highlight w:val="none"/>
          <w:lang w:eastAsia="zh-CN"/>
        </w:rPr>
        <w:t xml:space="preserve">。</w:t>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13. 验收和工程试车</w:t>
      </w:r>
      <w:r>
        <w:rPr>
          <w:color w:val="auto"/>
          <w:highlight w:val="none"/>
        </w:rPr>
      </w:r>
    </w:p>
    <w:p>
      <w:pPr>
        <w:ind w:firstLine="420"/>
        <w:keepLines w:val="0"/>
        <w:keepNext w:val="0"/>
        <w:pageBreakBefore w:val="0"/>
        <w:spacing w:line="240" w:lineRule="auto"/>
        <w:widowControl w:val="off"/>
        <w:rPr>
          <w:color w:val="auto"/>
          <w:szCs w:val="21"/>
          <w:highlight w:val="none"/>
        </w:rPr>
      </w:pPr>
      <w:r>
        <w:rPr>
          <w:rFonts w:hint="eastAsia"/>
          <w:color w:val="auto"/>
          <w:szCs w:val="21"/>
          <w:highlight w:val="none"/>
          <w:lang w:eastAsia="zh-CN"/>
        </w:rPr>
        <w:t xml:space="preserve">13.1 分部分项工程验收</w:t>
      </w:r>
      <w:r>
        <w:rPr>
          <w:color w:val="auto"/>
          <w:highlight w:val="none"/>
        </w:rPr>
      </w:r>
    </w:p>
    <w:p>
      <w:pPr>
        <w:ind w:firstLine="420"/>
        <w:keepLines w:val="0"/>
        <w:keepNext w:val="0"/>
        <w:pageBreakBefore w:val="0"/>
        <w:spacing w:line="240" w:lineRule="auto"/>
        <w:widowControl w:val="off"/>
        <w:rPr>
          <w:b/>
          <w:color w:val="auto"/>
          <w:szCs w:val="21"/>
          <w:highlight w:val="none"/>
        </w:rPr>
      </w:pPr>
      <w:r>
        <w:rPr>
          <w:rFonts w:hint="eastAsia"/>
          <w:color w:val="auto"/>
          <w:szCs w:val="21"/>
          <w:highlight w:val="none"/>
          <w:lang w:eastAsia="zh-CN"/>
        </w:rPr>
        <w:t xml:space="preserve">13.1.2关于延期最长不得超过：</w:t>
      </w:r>
      <w:r>
        <w:rPr>
          <w:rFonts w:hint="eastAsia"/>
          <w:color w:val="auto"/>
          <w:szCs w:val="21"/>
          <w:highlight w:val="none"/>
          <w:u w:val="single"/>
          <w:lang w:eastAsia="zh-CN"/>
        </w:rPr>
        <w:t xml:space="preserve">  48  </w:t>
      </w:r>
      <w:r>
        <w:rPr>
          <w:rFonts w:hint="eastAsia"/>
          <w:color w:val="auto"/>
          <w:szCs w:val="21"/>
          <w:highlight w:val="none"/>
          <w:lang w:eastAsia="zh-CN"/>
        </w:rPr>
        <w:t xml:space="preserve">小时。</w:t>
      </w:r>
      <w:r>
        <w:rPr>
          <w:color w:val="auto"/>
          <w:highlight w:val="none"/>
        </w:rPr>
      </w:r>
    </w:p>
    <w:p>
      <w:pPr>
        <w:ind w:firstLine="420"/>
        <w:keepLines w:val="0"/>
        <w:keepNext w:val="0"/>
        <w:pageBreakBefore w:val="0"/>
        <w:spacing w:line="240" w:lineRule="auto"/>
        <w:widowControl w:val="off"/>
        <w:rPr>
          <w:color w:val="auto"/>
          <w:szCs w:val="21"/>
          <w:highlight w:val="none"/>
        </w:rPr>
      </w:pPr>
      <w:r>
        <w:rPr>
          <w:rFonts w:hint="eastAsia"/>
          <w:color w:val="auto"/>
          <w:szCs w:val="21"/>
          <w:highlight w:val="none"/>
          <w:lang w:eastAsia="zh-CN"/>
        </w:rPr>
        <w:t xml:space="preserve">13.2 竣工验收</w:t>
      </w:r>
      <w:r>
        <w:rPr>
          <w:color w:val="auto"/>
          <w:highlight w:val="none"/>
        </w:rPr>
      </w:r>
    </w:p>
    <w:p>
      <w:pPr>
        <w:ind w:firstLine="420"/>
        <w:keepLines w:val="0"/>
        <w:keepNext w:val="0"/>
        <w:pageBreakBefore w:val="0"/>
        <w:spacing w:line="240" w:lineRule="auto"/>
        <w:widowControl w:val="off"/>
        <w:rPr>
          <w:color w:val="auto"/>
          <w:szCs w:val="21"/>
          <w:highlight w:val="none"/>
        </w:rPr>
      </w:pPr>
      <w:r>
        <w:rPr>
          <w:rFonts w:hint="eastAsia"/>
          <w:color w:val="auto"/>
          <w:szCs w:val="21"/>
          <w:highlight w:val="none"/>
          <w:lang w:eastAsia="zh-CN"/>
        </w:rPr>
        <w:t xml:space="preserve">13.2.2竣工验收程序</w:t>
      </w:r>
      <w:r>
        <w:rPr>
          <w:color w:val="auto"/>
          <w:highlight w:val="none"/>
        </w:rPr>
      </w:r>
    </w:p>
    <w:p>
      <w:pPr>
        <w:ind w:firstLine="420"/>
        <w:keepLines w:val="0"/>
        <w:keepNext w:val="0"/>
        <w:pageBreakBefore w:val="0"/>
        <w:spacing w:line="240" w:lineRule="auto"/>
        <w:widowControl w:val="off"/>
        <w:rPr>
          <w:color w:val="auto"/>
          <w:szCs w:val="21"/>
          <w:highlight w:val="none"/>
          <w:u w:val="single"/>
        </w:rPr>
      </w:pPr>
      <w:r>
        <w:rPr>
          <w:rFonts w:hint="eastAsia"/>
          <w:color w:val="auto"/>
          <w:szCs w:val="21"/>
          <w:highlight w:val="none"/>
          <w:lang w:eastAsia="zh-CN"/>
        </w:rPr>
        <w:t xml:space="preserve">关于竣工验收程序的约定：</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（1）承包人向</w:t>
      </w:r>
      <w:r>
        <w:rPr>
          <w:rFonts w:hint="eastAsia"/>
          <w:color w:val="auto"/>
          <w:szCs w:val="21"/>
          <w:highlight w:val="none"/>
          <w:lang w:val="en-US" w:eastAsia="zh-CN"/>
        </w:rPr>
        <w:t xml:space="preserve">发包</w:t>
      </w:r>
      <w:r>
        <w:rPr>
          <w:rFonts w:hint="eastAsia"/>
          <w:color w:val="auto"/>
          <w:szCs w:val="21"/>
          <w:highlight w:val="none"/>
          <w:lang w:eastAsia="zh-CN"/>
        </w:rPr>
        <w:t xml:space="preserve">人报送竣工验收申请报告，</w:t>
      </w:r>
      <w:r>
        <w:rPr>
          <w:rFonts w:hint="eastAsia"/>
          <w:color w:val="auto"/>
          <w:szCs w:val="21"/>
          <w:highlight w:val="none"/>
          <w:lang w:val="en-US" w:eastAsia="zh-CN"/>
        </w:rPr>
        <w:t xml:space="preserve">发包</w:t>
      </w:r>
      <w:r>
        <w:rPr>
          <w:rFonts w:hint="eastAsia"/>
          <w:color w:val="auto"/>
          <w:szCs w:val="21"/>
          <w:highlight w:val="none"/>
          <w:lang w:eastAsia="zh-CN"/>
        </w:rPr>
        <w:t xml:space="preserve">人审查后认为尚不具备验收条件的，应通知承包人在竣工验收前承包人还需完成的工作内容，承包人应在</w:t>
      </w:r>
      <w:r>
        <w:rPr>
          <w:rFonts w:hint="eastAsia"/>
          <w:color w:val="auto"/>
          <w:szCs w:val="21"/>
          <w:highlight w:val="none"/>
          <w:lang w:val="en-US" w:eastAsia="zh-CN"/>
        </w:rPr>
        <w:t xml:space="preserve">发包人</w:t>
      </w:r>
      <w:r>
        <w:rPr>
          <w:rFonts w:hint="eastAsia"/>
          <w:color w:val="auto"/>
          <w:szCs w:val="21"/>
          <w:highlight w:val="none"/>
          <w:lang w:eastAsia="zh-CN"/>
        </w:rPr>
        <w:t xml:space="preserve">通知的全部工作内容后，再次提交竣工验收申请报告。</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（2）</w:t>
      </w:r>
      <w:r>
        <w:rPr>
          <w:rFonts w:hint="eastAsia"/>
          <w:color w:val="auto"/>
          <w:szCs w:val="21"/>
          <w:highlight w:val="none"/>
          <w:lang w:val="en-US" w:eastAsia="zh-CN"/>
        </w:rPr>
        <w:t xml:space="preserve">发包人</w:t>
      </w:r>
      <w:r>
        <w:rPr>
          <w:rFonts w:hint="eastAsia"/>
          <w:color w:val="auto"/>
          <w:szCs w:val="21"/>
          <w:highlight w:val="none"/>
          <w:lang w:eastAsia="zh-CN"/>
        </w:rPr>
        <w:t xml:space="preserve">审查后认为已具备竣工验收条件的，应将竣工验收申请报告提交发包人，发包人应在收到竣工验收申请报告后28天内审批完毕并组织相关单位完成竣工验收。</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（3）竣工验收合格的，发包人应在验收合格后28天内向承包人签发工程接收证书。发包人无正当理由逾期不颁发工程接收证书的，自验收合格后第29天起视为已颁发工程接收证书。</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（4）竣工验收不合格的，</w:t>
      </w:r>
      <w:r>
        <w:rPr>
          <w:rFonts w:hint="eastAsia"/>
          <w:color w:val="auto"/>
          <w:szCs w:val="21"/>
          <w:highlight w:val="none"/>
          <w:lang w:val="en-US" w:eastAsia="zh-CN"/>
        </w:rPr>
        <w:t xml:space="preserve">发包人</w:t>
      </w:r>
      <w:r>
        <w:rPr>
          <w:rFonts w:hint="eastAsia"/>
          <w:color w:val="auto"/>
          <w:szCs w:val="21"/>
          <w:highlight w:val="none"/>
          <w:lang w:eastAsia="zh-CN"/>
        </w:rPr>
        <w:t xml:space="preserve">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发包人不按照本项约定组织竣工验收、颁发工程接收证书的违约金的计算方法</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13.2.5移交、接收全部与部分工程</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承包人向发包人移交工程的期限：</w:t>
      </w:r>
      <w:r>
        <w:rPr>
          <w:rFonts w:hint="eastAsia"/>
          <w:color w:val="auto"/>
          <w:szCs w:val="21"/>
          <w:highlight w:val="none"/>
          <w:u w:val="single"/>
          <w:lang w:eastAsia="zh-CN"/>
        </w:rPr>
        <w:t xml:space="preserve">在颁发工程接收证书后7日内完成工程的移交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发包人未按本合同约定接收全部或部分工程的，违约金的计算方法为：</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承包人未按时移交工程的，违约金的计算方法为：</w:t>
      </w:r>
      <w:r>
        <w:rPr>
          <w:rFonts w:hint="eastAsia"/>
          <w:b/>
          <w:bCs/>
          <w:color w:val="auto"/>
          <w:szCs w:val="21"/>
          <w:highlight w:val="none"/>
          <w:u w:val="single"/>
          <w:lang w:eastAsia="zh-CN"/>
        </w:rPr>
        <w:t xml:space="preserve">每推迟一天，承包人赔偿给发包人壹万元违约金，最高不超过合同价款的10% ，违约金从工程竣工结算款中扣除 。</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13.3 工程试车</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13.3.1 试车程序</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工程试车内容：</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pStyle w:val="723"/>
        <w:ind w:firstLine="420"/>
        <w:pageBreakBefore w:val="0"/>
        <w:spacing w:line="240" w:lineRule="auto"/>
        <w:rPr>
          <w:color w:val="auto"/>
          <w:szCs w:val="21"/>
          <w:highlight w:val="none"/>
        </w:rPr>
      </w:pPr>
      <w:r>
        <w:rPr>
          <w:rFonts w:hint="eastAsia"/>
          <w:color w:val="auto"/>
          <w:szCs w:val="21"/>
          <w:highlight w:val="none"/>
          <w:lang w:eastAsia="zh-CN"/>
        </w:rPr>
        <w:t xml:space="preserve">（1）单机无负荷试车费用由</w:t>
      </w:r>
      <w:r>
        <w:rPr>
          <w:rFonts w:hint="eastAsia"/>
          <w:color w:val="auto"/>
          <w:highlight w:val="none"/>
          <w:u w:val="single"/>
          <w:lang w:eastAsia="zh-CN"/>
        </w:rPr>
        <w:t xml:space="preserve">承包人</w:t>
      </w:r>
      <w:r>
        <w:rPr>
          <w:rFonts w:hint="eastAsia"/>
          <w:color w:val="auto"/>
          <w:szCs w:val="21"/>
          <w:highlight w:val="none"/>
          <w:lang w:eastAsia="zh-CN"/>
        </w:rPr>
        <w:t xml:space="preserve">承担；</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（2）无负荷联动试车费用由</w:t>
      </w:r>
      <w:r>
        <w:rPr>
          <w:rFonts w:hint="eastAsia"/>
          <w:color w:val="auto"/>
          <w:highlight w:val="none"/>
          <w:u w:val="single"/>
          <w:lang w:eastAsia="zh-CN"/>
        </w:rPr>
        <w:t xml:space="preserve">承包人</w:t>
      </w:r>
      <w:r>
        <w:rPr>
          <w:rFonts w:hint="eastAsia"/>
          <w:color w:val="auto"/>
          <w:szCs w:val="21"/>
          <w:highlight w:val="none"/>
          <w:lang w:eastAsia="zh-CN"/>
        </w:rPr>
        <w:t xml:space="preserve">承担。</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13.3.3 投料试车</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关于投料试车相关事项的约定：</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205" w:name="_Toc19401"/>
      <w:r>
        <w:rPr>
          <w:color w:val="auto"/>
          <w:highlight w:val="none"/>
        </w:rPr>
      </w:r>
      <w:bookmarkStart w:id="206" w:name="_Toc18045"/>
      <w:r>
        <w:rPr>
          <w:rFonts w:hint="eastAsia"/>
          <w:color w:val="auto"/>
          <w:szCs w:val="21"/>
          <w:highlight w:val="none"/>
          <w:lang w:eastAsia="zh-CN"/>
        </w:rPr>
        <w:t xml:space="preserve">13.6 竣工退场</w:t>
      </w:r>
      <w:bookmarkEnd w:id="205"/>
      <w:r>
        <w:rPr>
          <w:color w:val="auto"/>
          <w:highlight w:val="none"/>
        </w:rPr>
      </w:r>
      <w:bookmarkEnd w:id="206"/>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13.6.1 竣工退场</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承包人完成竣工退场的期限：</w:t>
      </w:r>
      <w:r>
        <w:rPr>
          <w:rFonts w:hint="eastAsia"/>
          <w:color w:val="auto"/>
          <w:szCs w:val="21"/>
          <w:highlight w:val="none"/>
          <w:u w:val="single"/>
          <w:lang w:eastAsia="zh-CN"/>
        </w:rPr>
        <w:t xml:space="preserve">  在移交结束后7日内完成竣工退场    </w:t>
      </w:r>
      <w:r>
        <w:rPr>
          <w:rFonts w:hint="eastAsia"/>
          <w:color w:val="auto"/>
          <w:szCs w:val="21"/>
          <w:highlight w:val="none"/>
          <w:lang w:eastAsia="zh-CN"/>
        </w:rPr>
        <w:t xml:space="preserve">。</w:t>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14. 竣工结算</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14.1 竣工结算申请</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承包人提交竣工结算申请单的期限：</w:t>
      </w:r>
      <w:r>
        <w:rPr>
          <w:rFonts w:hint="eastAsia"/>
          <w:color w:val="auto"/>
          <w:szCs w:val="21"/>
          <w:highlight w:val="none"/>
          <w:u w:val="single"/>
          <w:lang w:eastAsia="zh-CN"/>
        </w:rPr>
        <w:t xml:space="preserve">  在工程竣工验收合格后7天内向发包人和监理人提交竣工结算申请单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竣工结算申请单应包括的内容：</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（1）竣工结算合同价格；</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（2）发包人已支付承包人的款项；</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（3）应扣留的质量保证金； </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（4）发包人应支付承包人的合同价款。</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207" w:name="_Toc15911"/>
      <w:r>
        <w:rPr>
          <w:color w:val="auto"/>
          <w:highlight w:val="none"/>
        </w:rPr>
      </w:r>
      <w:bookmarkStart w:id="208" w:name="_Toc30942"/>
      <w:r>
        <w:rPr>
          <w:rFonts w:hint="eastAsia"/>
          <w:color w:val="auto"/>
          <w:szCs w:val="21"/>
          <w:highlight w:val="none"/>
          <w:lang w:eastAsia="zh-CN"/>
        </w:rPr>
        <w:t xml:space="preserve">14.2 竣工结算审核</w:t>
      </w:r>
      <w:bookmarkEnd w:id="207"/>
      <w:r>
        <w:rPr>
          <w:color w:val="auto"/>
          <w:highlight w:val="none"/>
        </w:rPr>
      </w:r>
      <w:bookmarkEnd w:id="208"/>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发包人审批竣工付款申请单的期限：</w:t>
      </w:r>
      <w:r>
        <w:rPr>
          <w:rFonts w:hint="eastAsia"/>
          <w:color w:val="auto"/>
          <w:szCs w:val="21"/>
          <w:highlight w:val="none"/>
          <w:u w:val="single"/>
          <w:lang w:eastAsia="zh-CN"/>
        </w:rPr>
        <w:t xml:space="preserve">具体实施按照发包人规定的工作流程及要求执行</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发包人完成竣工付款的期限：</w:t>
      </w:r>
      <w:r>
        <w:rPr>
          <w:rFonts w:hint="eastAsia"/>
          <w:color w:val="auto"/>
          <w:szCs w:val="21"/>
          <w:highlight w:val="none"/>
          <w:u w:val="single"/>
          <w:lang w:eastAsia="zh-CN"/>
        </w:rPr>
        <w:t xml:space="preserve">具体实施按照发包人规定的工作流程及要求执行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关于竣工</w:t>
      </w:r>
      <w:r>
        <w:rPr>
          <w:rFonts w:hint="eastAsia"/>
          <w:color w:val="auto"/>
          <w:highlight w:val="none"/>
          <w:lang w:eastAsia="zh-CN"/>
        </w:rPr>
        <w:t xml:space="preserve">结算审计书</w:t>
      </w:r>
      <w:r>
        <w:rPr>
          <w:rFonts w:hint="eastAsia"/>
          <w:color w:val="auto"/>
          <w:szCs w:val="21"/>
          <w:highlight w:val="none"/>
          <w:lang w:eastAsia="zh-CN"/>
        </w:rPr>
        <w:t xml:space="preserve">异议部分复核的方式和程序：</w:t>
      </w:r>
      <w:r>
        <w:rPr>
          <w:rFonts w:hint="eastAsia"/>
          <w:color w:val="auto"/>
          <w:szCs w:val="21"/>
          <w:highlight w:val="none"/>
          <w:u w:val="single"/>
          <w:lang w:eastAsia="zh-CN"/>
        </w:rPr>
        <w:t xml:space="preserve">按照第20条〔争议解决〕约定处理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14.4 最终结清</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14.4.1 最终结清申请单</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承包人提交最终结清申请单的份数：</w:t>
      </w:r>
      <w:r>
        <w:rPr>
          <w:rFonts w:hint="eastAsia"/>
          <w:color w:val="auto"/>
          <w:szCs w:val="21"/>
          <w:highlight w:val="none"/>
          <w:u w:val="single"/>
          <w:lang w:eastAsia="zh-CN"/>
        </w:rPr>
        <w:t xml:space="preserve">    按发包人要求执行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承包人提交最终结算申请单的期限：</w:t>
      </w:r>
      <w:r>
        <w:rPr>
          <w:rFonts w:hint="eastAsia"/>
          <w:color w:val="auto"/>
          <w:szCs w:val="21"/>
          <w:highlight w:val="none"/>
          <w:u w:val="single"/>
          <w:lang w:eastAsia="zh-CN"/>
        </w:rPr>
        <w:t xml:space="preserve">   在缺陷责任期终止证书颁发后7日内   </w:t>
      </w:r>
      <w:r>
        <w:rPr>
          <w:rFonts w:hint="eastAsia"/>
          <w:color w:val="auto"/>
          <w:szCs w:val="21"/>
          <w:highlight w:val="none"/>
          <w:lang w:eastAsia="zh-CN"/>
        </w:rPr>
        <w:t xml:space="preserve">。 </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14.4.2 最终结清证书和支付</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（1）发包人完成最终结清申请单的审批并颁发最终结清证书的期限：</w:t>
      </w:r>
      <w:r>
        <w:rPr>
          <w:rFonts w:hint="eastAsia"/>
          <w:color w:val="auto"/>
          <w:szCs w:val="21"/>
          <w:highlight w:val="none"/>
          <w:u w:val="single"/>
          <w:lang w:eastAsia="zh-CN"/>
        </w:rPr>
        <w:t xml:space="preserve">按发包人工作流程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（2）发包人完成支付的期限：</w:t>
      </w:r>
      <w:r>
        <w:rPr>
          <w:rFonts w:hint="eastAsia"/>
          <w:color w:val="auto"/>
          <w:szCs w:val="21"/>
          <w:highlight w:val="none"/>
          <w:u w:val="single"/>
          <w:lang w:eastAsia="zh-CN"/>
        </w:rPr>
        <w:t xml:space="preserve">在颁发最终结清证书后30日内完成支付  </w:t>
      </w:r>
      <w:r>
        <w:rPr>
          <w:rFonts w:hint="eastAsia"/>
          <w:color w:val="auto"/>
          <w:szCs w:val="21"/>
          <w:highlight w:val="none"/>
          <w:lang w:eastAsia="zh-CN"/>
        </w:rPr>
        <w:t xml:space="preserve">。</w:t>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15. 缺陷责任期与保修</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15.2缺陷责任期</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缺陷责任期的具体期限：</w:t>
      </w:r>
      <w:r>
        <w:rPr>
          <w:rFonts w:hint="eastAsia"/>
          <w:color w:val="auto"/>
          <w:szCs w:val="21"/>
          <w:highlight w:val="none"/>
          <w:u w:val="single"/>
          <w:lang w:eastAsia="zh-CN"/>
        </w:rPr>
        <w:t xml:space="preserve">  </w:t>
      </w:r>
      <w:r>
        <w:rPr>
          <w:rFonts w:hint="eastAsia"/>
          <w:b/>
          <w:bCs/>
          <w:color w:val="auto"/>
          <w:szCs w:val="21"/>
          <w:highlight w:val="none"/>
          <w:u w:val="single"/>
          <w:lang w:eastAsia="zh-CN"/>
        </w:rPr>
        <w:t xml:space="preserve">自实际竣工（验收合格）日期起24个月</w:t>
      </w:r>
      <w:r>
        <w:rPr>
          <w:rFonts w:hint="eastAsia"/>
          <w:b/>
          <w:bCs/>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209" w:name="_Toc18683"/>
      <w:r>
        <w:rPr>
          <w:color w:val="auto"/>
          <w:highlight w:val="none"/>
        </w:rPr>
      </w:r>
      <w:bookmarkStart w:id="210" w:name="_Toc5322"/>
      <w:r>
        <w:rPr>
          <w:rFonts w:hint="eastAsia"/>
          <w:color w:val="auto"/>
          <w:szCs w:val="21"/>
          <w:highlight w:val="none"/>
          <w:lang w:eastAsia="zh-CN"/>
        </w:rPr>
        <w:t xml:space="preserve">15.3 质量保证金</w:t>
      </w:r>
      <w:bookmarkEnd w:id="209"/>
      <w:r>
        <w:rPr>
          <w:color w:val="auto"/>
          <w:highlight w:val="none"/>
        </w:rPr>
      </w:r>
      <w:bookmarkEnd w:id="210"/>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关于是否扣留质量保证金的约定：</w:t>
      </w:r>
      <w:r>
        <w:rPr>
          <w:rFonts w:hint="eastAsia"/>
          <w:color w:val="auto"/>
          <w:szCs w:val="21"/>
          <w:highlight w:val="none"/>
          <w:u w:val="single"/>
          <w:lang w:eastAsia="zh-CN"/>
        </w:rPr>
        <w:t xml:space="preserve">   扣留质量保证金   </w:t>
      </w:r>
      <w:r>
        <w:rPr>
          <w:rFonts w:hint="eastAsia"/>
          <w:color w:val="auto"/>
          <w:szCs w:val="21"/>
          <w:highlight w:val="none"/>
          <w:lang w:eastAsia="zh-CN"/>
        </w:rPr>
        <w:t xml:space="preserve">。在工程项目竣工前，承包人按专用合同条款第3.7条提供履约担保的，发包人不得同时预留工程质量保证金。</w:t>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211" w:name="_Toc31887"/>
      <w:r>
        <w:rPr>
          <w:color w:val="auto"/>
          <w:highlight w:val="none"/>
        </w:rPr>
      </w:r>
      <w:bookmarkStart w:id="212" w:name="_Toc2341"/>
      <w:r>
        <w:rPr>
          <w:rFonts w:hint="eastAsia"/>
          <w:color w:val="auto"/>
          <w:szCs w:val="21"/>
          <w:highlight w:val="none"/>
          <w:lang w:eastAsia="zh-CN"/>
        </w:rPr>
        <w:t xml:space="preserve">15.3.1 承包人提供质量保证金的方式</w:t>
      </w:r>
      <w:bookmarkEnd w:id="211"/>
      <w:r>
        <w:rPr>
          <w:color w:val="auto"/>
          <w:highlight w:val="none"/>
        </w:rPr>
      </w:r>
      <w:bookmarkEnd w:id="212"/>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质量保证金采用以下第</w:t>
      </w:r>
      <w:r>
        <w:rPr>
          <w:rFonts w:hint="eastAsia"/>
          <w:color w:val="auto"/>
          <w:szCs w:val="21"/>
          <w:highlight w:val="none"/>
          <w:u w:val="single"/>
          <w:lang w:eastAsia="zh-CN"/>
        </w:rPr>
        <w:t xml:space="preserve">   2  </w:t>
      </w:r>
      <w:r>
        <w:rPr>
          <w:rFonts w:hint="eastAsia"/>
          <w:color w:val="auto"/>
          <w:szCs w:val="21"/>
          <w:highlight w:val="none"/>
          <w:lang w:eastAsia="zh-CN"/>
        </w:rPr>
        <w:t xml:space="preserve">种方式：</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（1）质量保证金保函，保证金额为：</w:t>
      </w:r>
      <w:r>
        <w:rPr>
          <w:rFonts w:hint="eastAsia"/>
          <w:color w:val="auto"/>
          <w:szCs w:val="21"/>
          <w:highlight w:val="none"/>
          <w:u w:val="single"/>
          <w:lang w:eastAsia="zh-CN"/>
        </w:rPr>
        <w:t xml:space="preserve">           /        </w:t>
      </w:r>
      <w:r>
        <w:rPr>
          <w:rFonts w:hint="eastAsia"/>
          <w:color w:val="auto"/>
          <w:szCs w:val="21"/>
          <w:highlight w:val="none"/>
          <w:lang w:eastAsia="zh-CN"/>
        </w:rPr>
        <w:t xml:space="preserve">； </w:t>
      </w:r>
      <w:r>
        <w:rPr>
          <w:color w:val="auto"/>
          <w:highlight w:val="none"/>
        </w:rPr>
      </w:r>
    </w:p>
    <w:p>
      <w:pPr>
        <w:pStyle w:val="723"/>
        <w:ind w:firstLine="420"/>
        <w:pageBreakBefore w:val="0"/>
        <w:spacing w:line="240" w:lineRule="auto"/>
        <w:rPr>
          <w:color w:val="auto"/>
          <w:szCs w:val="21"/>
          <w:highlight w:val="none"/>
        </w:rPr>
      </w:pPr>
      <w:r>
        <w:rPr>
          <w:rFonts w:hint="eastAsia"/>
          <w:color w:val="auto"/>
          <w:szCs w:val="21"/>
          <w:highlight w:val="none"/>
          <w:lang w:eastAsia="zh-CN"/>
        </w:rPr>
        <w:t xml:space="preserve">（2）</w:t>
      </w:r>
      <w:r>
        <w:rPr>
          <w:rFonts w:hint="eastAsia"/>
          <w:color w:val="auto"/>
          <w:highlight w:val="none"/>
          <w:lang w:eastAsia="zh-CN"/>
        </w:rPr>
        <w:t xml:space="preserve">结算审定价款的3%</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（3）其他方式：</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213" w:name="_Toc21356"/>
      <w:r>
        <w:rPr>
          <w:color w:val="auto"/>
          <w:highlight w:val="none"/>
        </w:rPr>
      </w:r>
      <w:bookmarkStart w:id="214" w:name="_Toc21655"/>
      <w:r>
        <w:rPr>
          <w:rFonts w:hint="eastAsia"/>
          <w:color w:val="auto"/>
          <w:szCs w:val="21"/>
          <w:highlight w:val="none"/>
          <w:lang w:eastAsia="zh-CN"/>
        </w:rPr>
        <w:t xml:space="preserve">15.3.2 质量保证金的扣留</w:t>
      </w:r>
      <w:bookmarkEnd w:id="213"/>
      <w:r>
        <w:rPr>
          <w:color w:val="auto"/>
          <w:highlight w:val="none"/>
        </w:rPr>
      </w:r>
      <w:bookmarkEnd w:id="214"/>
      <w:r>
        <w:rPr>
          <w:rFonts w:hint="eastAsia"/>
          <w:color w:val="auto"/>
          <w:szCs w:val="21"/>
          <w:highlight w:val="none"/>
          <w:lang w:eastAsia="zh-CN"/>
        </w:rPr>
        <w:t xml:space="preserve"> </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质量保证金的扣留采取以下第</w:t>
      </w:r>
      <w:r>
        <w:rPr>
          <w:rFonts w:hint="eastAsia"/>
          <w:color w:val="auto"/>
          <w:szCs w:val="21"/>
          <w:highlight w:val="none"/>
          <w:u w:val="single"/>
          <w:lang w:eastAsia="zh-CN"/>
        </w:rPr>
        <w:t xml:space="preserve">  2   </w:t>
      </w:r>
      <w:r>
        <w:rPr>
          <w:rFonts w:hint="eastAsia"/>
          <w:color w:val="auto"/>
          <w:szCs w:val="21"/>
          <w:highlight w:val="none"/>
          <w:lang w:eastAsia="zh-CN"/>
        </w:rPr>
        <w:t xml:space="preserve">种方式：</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（1）在支付工程进度款时逐次扣留，在此情形下，质量保证金的计算基数不包括预付款的支付、扣回以及价格调整的金额；</w:t>
      </w:r>
      <w:r>
        <w:rPr>
          <w:color w:val="auto"/>
          <w:highlight w:val="none"/>
        </w:rPr>
      </w:r>
    </w:p>
    <w:p>
      <w:pPr>
        <w:ind w:firstLine="420"/>
        <w:pageBreakBefore w:val="0"/>
        <w:spacing w:line="240" w:lineRule="auto"/>
        <w:rPr>
          <w:color w:val="auto"/>
          <w:szCs w:val="21"/>
          <w:highlight w:val="none"/>
        </w:rPr>
        <w:outlineLvl w:val="0"/>
      </w:pPr>
      <w:r>
        <w:rPr>
          <w:color w:val="auto"/>
          <w:highlight w:val="none"/>
        </w:rPr>
      </w:r>
      <w:bookmarkStart w:id="215" w:name="_Toc3637"/>
      <w:r>
        <w:rPr>
          <w:color w:val="auto"/>
          <w:highlight w:val="none"/>
        </w:rPr>
      </w:r>
      <w:bookmarkStart w:id="216" w:name="_Toc6308"/>
      <w:r>
        <w:rPr>
          <w:rFonts w:hint="eastAsia"/>
          <w:color w:val="auto"/>
          <w:szCs w:val="21"/>
          <w:highlight w:val="none"/>
          <w:lang w:eastAsia="zh-CN"/>
        </w:rPr>
        <w:t xml:space="preserve">（2）工程竣工结算时一次性扣留质量保证金；</w:t>
      </w:r>
      <w:bookmarkEnd w:id="215"/>
      <w:r>
        <w:rPr>
          <w:color w:val="auto"/>
          <w:highlight w:val="none"/>
        </w:rPr>
      </w:r>
      <w:bookmarkEnd w:id="216"/>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（3）其他扣留方式：</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关于质量保证金的补充约定：</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after="120" w:line="240" w:lineRule="auto"/>
        <w:rPr>
          <w:color w:val="auto"/>
          <w:szCs w:val="21"/>
          <w:highlight w:val="none"/>
        </w:rPr>
      </w:pPr>
      <w:r>
        <w:rPr>
          <w:rFonts w:hint="eastAsia"/>
          <w:color w:val="auto"/>
          <w:szCs w:val="21"/>
          <w:highlight w:val="none"/>
          <w:lang w:eastAsia="zh-CN"/>
        </w:rPr>
        <w:t xml:space="preserve">15.4保修</w:t>
      </w:r>
      <w:r>
        <w:rPr>
          <w:color w:val="auto"/>
          <w:highlight w:val="none"/>
        </w:rPr>
      </w:r>
    </w:p>
    <w:p>
      <w:pPr>
        <w:ind w:firstLine="409"/>
        <w:pageBreakBefore w:val="0"/>
        <w:spacing w:line="240" w:lineRule="auto"/>
        <w:rPr>
          <w:color w:val="auto"/>
          <w:szCs w:val="21"/>
          <w:highlight w:val="none"/>
        </w:rPr>
      </w:pPr>
      <w:r>
        <w:rPr>
          <w:rFonts w:hint="eastAsia"/>
          <w:color w:val="auto"/>
          <w:szCs w:val="21"/>
          <w:highlight w:val="none"/>
          <w:lang w:eastAsia="zh-CN"/>
        </w:rPr>
        <w:t xml:space="preserve">15.4.1 保修责任</w:t>
      </w:r>
      <w:r>
        <w:rPr>
          <w:color w:val="auto"/>
          <w:highlight w:val="none"/>
        </w:rPr>
      </w:r>
    </w:p>
    <w:p>
      <w:pPr>
        <w:ind w:firstLine="409"/>
        <w:pageBreakBefore w:val="0"/>
        <w:spacing w:line="240" w:lineRule="auto"/>
        <w:rPr>
          <w:color w:val="auto"/>
          <w:szCs w:val="21"/>
          <w:highlight w:val="none"/>
        </w:rPr>
      </w:pPr>
      <w:r>
        <w:rPr>
          <w:rFonts w:hint="eastAsia"/>
          <w:color w:val="auto"/>
          <w:szCs w:val="21"/>
          <w:highlight w:val="none"/>
          <w:lang w:eastAsia="zh-CN"/>
        </w:rPr>
        <w:t xml:space="preserve">工程保修期为：</w:t>
      </w:r>
      <w:r>
        <w:rPr>
          <w:rFonts w:hint="eastAsia"/>
          <w:color w:val="auto"/>
          <w:szCs w:val="21"/>
          <w:highlight w:val="none"/>
          <w:u w:val="single"/>
          <w:lang w:eastAsia="zh-CN"/>
        </w:rPr>
        <w:t xml:space="preserve">国家有关规定执行</w:t>
      </w:r>
      <w:r>
        <w:rPr>
          <w:rFonts w:hint="eastAsia"/>
          <w:color w:val="auto"/>
          <w:szCs w:val="21"/>
          <w:highlight w:val="none"/>
          <w:lang w:eastAsia="zh-CN"/>
        </w:rPr>
        <w:t xml:space="preserve">。</w:t>
      </w:r>
      <w:r>
        <w:rPr>
          <w:color w:val="auto"/>
          <w:highlight w:val="none"/>
        </w:rPr>
      </w:r>
    </w:p>
    <w:p>
      <w:pPr>
        <w:ind w:firstLine="409"/>
        <w:pageBreakBefore w:val="0"/>
        <w:spacing w:line="240" w:lineRule="auto"/>
        <w:rPr>
          <w:color w:val="auto"/>
          <w:szCs w:val="21"/>
          <w:highlight w:val="none"/>
        </w:rPr>
      </w:pPr>
      <w:r>
        <w:rPr>
          <w:rFonts w:hint="eastAsia"/>
          <w:color w:val="auto"/>
          <w:szCs w:val="21"/>
          <w:highlight w:val="none"/>
          <w:lang w:eastAsia="zh-CN"/>
        </w:rPr>
        <w:t xml:space="preserve">15.4.3 修复通知</w:t>
      </w:r>
      <w:r>
        <w:rPr>
          <w:color w:val="auto"/>
          <w:highlight w:val="none"/>
        </w:rPr>
      </w:r>
    </w:p>
    <w:p>
      <w:pPr>
        <w:ind w:firstLine="409"/>
        <w:pageBreakBefore w:val="0"/>
        <w:spacing w:line="240" w:lineRule="auto"/>
        <w:rPr>
          <w:color w:val="auto"/>
          <w:szCs w:val="21"/>
          <w:highlight w:val="none"/>
        </w:rPr>
      </w:pPr>
      <w:r>
        <w:rPr>
          <w:rFonts w:hint="eastAsia"/>
          <w:color w:val="auto"/>
          <w:szCs w:val="21"/>
          <w:highlight w:val="none"/>
          <w:lang w:eastAsia="zh-CN"/>
        </w:rPr>
        <w:t xml:space="preserve">承包人收到保修通知并到达工程现场的合理时间：</w:t>
      </w:r>
      <w:r>
        <w:rPr>
          <w:rFonts w:hint="eastAsia"/>
          <w:color w:val="auto"/>
          <w:szCs w:val="21"/>
          <w:highlight w:val="none"/>
          <w:u w:val="single"/>
          <w:lang w:eastAsia="zh-CN"/>
        </w:rPr>
        <w:t xml:space="preserve">收到保修通知或口头通知后24小时内 </w:t>
      </w:r>
      <w:r>
        <w:rPr>
          <w:rFonts w:hint="eastAsia"/>
          <w:color w:val="auto"/>
          <w:szCs w:val="21"/>
          <w:highlight w:val="none"/>
          <w:lang w:eastAsia="zh-CN"/>
        </w:rPr>
        <w:t xml:space="preserve">。</w:t>
      </w:r>
      <w:r>
        <w:rPr>
          <w:color w:val="auto"/>
          <w:highlight w:val="none"/>
        </w:rPr>
      </w:r>
    </w:p>
    <w:p>
      <w:pPr>
        <w:pStyle w:val="712"/>
        <w:pageBreakBefore w:val="0"/>
        <w:spacing w:before="120" w:after="120" w:line="240" w:lineRule="auto"/>
        <w:widowControl/>
        <w:rPr>
          <w:b w:val="0"/>
          <w:color w:val="auto"/>
          <w:szCs w:val="21"/>
          <w:highlight w:val="none"/>
        </w:rPr>
      </w:pPr>
      <w:r>
        <w:rPr>
          <w:rFonts w:hint="eastAsia"/>
          <w:b w:val="0"/>
          <w:color w:val="auto"/>
          <w:szCs w:val="21"/>
          <w:highlight w:val="none"/>
          <w:lang w:eastAsia="zh-CN"/>
        </w:rPr>
        <w:t xml:space="preserve">16. 违约</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217" w:name="_Toc9006"/>
      <w:r>
        <w:rPr>
          <w:color w:val="auto"/>
          <w:highlight w:val="none"/>
        </w:rPr>
      </w:r>
      <w:bookmarkStart w:id="218" w:name="_Toc14716"/>
      <w:r>
        <w:rPr>
          <w:rFonts w:hint="eastAsia"/>
          <w:color w:val="auto"/>
          <w:szCs w:val="21"/>
          <w:highlight w:val="none"/>
          <w:lang w:eastAsia="zh-CN"/>
        </w:rPr>
        <w:t xml:space="preserve">16.1 发包人违约</w:t>
      </w:r>
      <w:bookmarkEnd w:id="217"/>
      <w:r>
        <w:rPr>
          <w:color w:val="auto"/>
          <w:highlight w:val="none"/>
        </w:rPr>
      </w:r>
      <w:bookmarkEnd w:id="218"/>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16.1.1发包人违约的情形</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发包人违约的其他情形：</w:t>
      </w:r>
      <w:r>
        <w:rPr>
          <w:rFonts w:hint="eastAsia"/>
          <w:color w:val="auto"/>
          <w:szCs w:val="21"/>
          <w:highlight w:val="none"/>
          <w:u w:val="single"/>
          <w:lang w:eastAsia="zh-CN"/>
        </w:rPr>
        <w:t xml:space="preserve">           无       </w:t>
      </w:r>
      <w:r>
        <w:rPr>
          <w:rFonts w:hint="eastAsia"/>
          <w:color w:val="auto"/>
          <w:szCs w:val="21"/>
          <w:highlight w:val="none"/>
          <w:lang w:eastAsia="zh-CN"/>
        </w:rPr>
        <w:t xml:space="preserve">。</w:t>
      </w:r>
      <w:r>
        <w:rPr>
          <w:color w:val="auto"/>
          <w:highlight w:val="none"/>
        </w:rPr>
      </w:r>
    </w:p>
    <w:p>
      <w:pPr>
        <w:ind w:left="1100" w:hanging="1050"/>
        <w:pageBreakBefore w:val="0"/>
        <w:spacing w:line="240" w:lineRule="auto"/>
        <w:rPr>
          <w:color w:val="auto"/>
          <w:szCs w:val="21"/>
          <w:highlight w:val="none"/>
        </w:rPr>
      </w:pPr>
      <w:r>
        <w:rPr>
          <w:rFonts w:hint="eastAsia"/>
          <w:color w:val="auto"/>
          <w:szCs w:val="21"/>
          <w:highlight w:val="none"/>
          <w:lang w:eastAsia="zh-CN"/>
        </w:rPr>
        <w:t xml:space="preserve">    16.1.2 发包人违约的责任</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发包人违约责任的承担方式和计算方法：</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lang w:eastAsia="zh-CN"/>
        </w:rPr>
        <w:t xml:space="preserve">（1）因发包人原因未能在计划开工日期前7天内下达开工通知的违约责任：</w:t>
      </w:r>
      <w:r>
        <w:rPr>
          <w:rFonts w:hint="eastAsia"/>
          <w:color w:val="auto"/>
          <w:szCs w:val="21"/>
          <w:highlight w:val="none"/>
          <w:u w:val="single"/>
          <w:lang w:eastAsia="zh-CN"/>
        </w:rPr>
        <w:t xml:space="preserve">由承包人书面提出，并由发包人派驻现场工程师核实确认后，顺延工期，不补偿任何费用</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（2）因发包人原因未能按合同约定支付合同价款的违约责任：</w:t>
      </w:r>
      <w:r>
        <w:rPr>
          <w:rFonts w:hint="eastAsia"/>
          <w:color w:val="auto"/>
          <w:szCs w:val="21"/>
          <w:highlight w:val="none"/>
          <w:u w:val="single"/>
          <w:lang w:eastAsia="zh-CN"/>
        </w:rPr>
        <w:t xml:space="preserve">不补偿任何费用</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（3）发包人违反第10.1款〔变更的范围〕第（2）项约定，自行实施被取消的工作或转由他人实施的违约责任：</w:t>
      </w:r>
      <w:r>
        <w:rPr>
          <w:rFonts w:hint="eastAsia"/>
          <w:color w:val="auto"/>
          <w:szCs w:val="21"/>
          <w:highlight w:val="none"/>
          <w:u w:val="single"/>
          <w:lang w:eastAsia="zh-CN"/>
        </w:rPr>
        <w:t xml:space="preserve">不补偿任何费用</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（4）发包人提供的材料、工程设备的规格、数量或质量不符合合同约定，或因发包人原因导致交货日期延误或交货地点变更等情况的违约责任：</w:t>
      </w:r>
      <w:r>
        <w:rPr>
          <w:rFonts w:hint="eastAsia"/>
          <w:color w:val="auto"/>
          <w:szCs w:val="21"/>
          <w:highlight w:val="none"/>
          <w:u w:val="single"/>
          <w:lang w:eastAsia="zh-CN"/>
        </w:rPr>
        <w:t xml:space="preserve">由承包人书面提出，顺延工期，不补偿任何费用</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（5）因发包人违反合同约定造成暂停施工的违约责任：</w:t>
      </w:r>
      <w:r>
        <w:rPr>
          <w:rFonts w:hint="eastAsia"/>
          <w:color w:val="auto"/>
          <w:szCs w:val="21"/>
          <w:highlight w:val="none"/>
          <w:u w:val="single"/>
          <w:lang w:eastAsia="zh-CN"/>
        </w:rPr>
        <w:t xml:space="preserve">由承包人书面提出，顺延工期，不补偿任何费用</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（6）发包人无正当理由没有在约定期限内发出复工指示，导致承包人无法复工的违约责任：</w:t>
      </w:r>
      <w:r>
        <w:rPr>
          <w:rFonts w:hint="eastAsia"/>
          <w:color w:val="auto"/>
          <w:szCs w:val="21"/>
          <w:highlight w:val="none"/>
          <w:u w:val="single"/>
          <w:lang w:eastAsia="zh-CN"/>
        </w:rPr>
        <w:t xml:space="preserve">由承包人书面提出，顺延工期，不补偿任何费用</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（7）其他：</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16.1.3 因发包人违约解除合同</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承包人按16.1.1项〔发包人违约的情形〕约定暂停施工满</w:t>
      </w:r>
      <w:r>
        <w:rPr>
          <w:rFonts w:hint="eastAsia"/>
          <w:color w:val="auto"/>
          <w:szCs w:val="21"/>
          <w:highlight w:val="none"/>
          <w:u w:val="single"/>
          <w:lang w:eastAsia="zh-CN"/>
        </w:rPr>
        <w:t xml:space="preserve">  90 </w:t>
      </w:r>
      <w:r>
        <w:rPr>
          <w:rFonts w:hint="eastAsia"/>
          <w:color w:val="auto"/>
          <w:szCs w:val="21"/>
          <w:highlight w:val="none"/>
          <w:lang w:eastAsia="zh-CN"/>
        </w:rPr>
        <w:t xml:space="preserve">天后发包人仍不纠正其违约行为并致使合同目的不能实现的，承包人有权解除合同。</w:t>
      </w:r>
      <w:r>
        <w:rPr>
          <w:color w:val="auto"/>
          <w:highlight w:val="none"/>
        </w:rPr>
      </w:r>
    </w:p>
    <w:p>
      <w:pPr>
        <w:ind w:firstLine="420"/>
        <w:pageBreakBefore w:val="0"/>
        <w:spacing w:after="120" w:line="240" w:lineRule="auto"/>
        <w:rPr>
          <w:color w:val="auto"/>
          <w:szCs w:val="21"/>
          <w:highlight w:val="none"/>
        </w:rPr>
        <w:outlineLvl w:val="0"/>
      </w:pPr>
      <w:r>
        <w:rPr>
          <w:color w:val="auto"/>
          <w:highlight w:val="none"/>
        </w:rPr>
      </w:r>
      <w:bookmarkStart w:id="219" w:name="_Toc23462"/>
      <w:r>
        <w:rPr>
          <w:color w:val="auto"/>
          <w:highlight w:val="none"/>
        </w:rPr>
      </w:r>
      <w:bookmarkStart w:id="220" w:name="_Toc7607"/>
      <w:r>
        <w:rPr>
          <w:rFonts w:hint="eastAsia"/>
          <w:color w:val="auto"/>
          <w:szCs w:val="21"/>
          <w:highlight w:val="none"/>
          <w:lang w:eastAsia="zh-CN"/>
        </w:rPr>
        <w:t xml:space="preserve">16.2 承包人违约</w:t>
      </w:r>
      <w:bookmarkEnd w:id="219"/>
      <w:r>
        <w:rPr>
          <w:color w:val="auto"/>
          <w:highlight w:val="none"/>
        </w:rPr>
      </w:r>
      <w:bookmarkEnd w:id="220"/>
      <w:r>
        <w:rPr>
          <w:color w:val="auto"/>
          <w:highlight w:val="none"/>
        </w:rPr>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16.2.1 承包人违约的情形</w:t>
      </w:r>
      <w:r>
        <w:rPr>
          <w:color w:val="auto"/>
          <w:highlight w:val="none"/>
        </w:rPr>
      </w:r>
    </w:p>
    <w:p>
      <w:pPr>
        <w:ind w:left="477"/>
        <w:pageBreakBefore w:val="0"/>
        <w:spacing w:line="240" w:lineRule="auto"/>
        <w:rPr>
          <w:color w:val="auto"/>
          <w:szCs w:val="21"/>
          <w:highlight w:val="none"/>
        </w:rPr>
      </w:pPr>
      <w:r>
        <w:rPr>
          <w:rFonts w:hint="eastAsia"/>
          <w:color w:val="auto"/>
          <w:szCs w:val="21"/>
          <w:highlight w:val="none"/>
          <w:lang w:eastAsia="zh-CN"/>
        </w:rPr>
        <w:t xml:space="preserve">承包人违约的其他情形：</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（1）因承包人安全文明措施不到位的或未按规定实施的；</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（2）因承包人原因，导致周边住户和单位投诉或新闻媒体负面曝光；</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（3）承包人不能按规定上报竣工结算；</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（4）因承包人原因发生安全质量事故给发包人造成影响的；</w:t>
      </w:r>
      <w:r>
        <w:rPr>
          <w:color w:val="auto"/>
          <w:highlight w:val="none"/>
        </w:rPr>
      </w:r>
    </w:p>
    <w:p>
      <w:pPr>
        <w:ind w:firstLine="420"/>
        <w:pageBreakBefore w:val="0"/>
        <w:spacing w:line="240" w:lineRule="auto"/>
        <w:rPr>
          <w:color w:val="auto"/>
          <w:szCs w:val="21"/>
          <w:highlight w:val="none"/>
          <w:u w:val="single"/>
        </w:rPr>
      </w:pPr>
      <w:r>
        <w:rPr>
          <w:rFonts w:hint="eastAsia"/>
          <w:color w:val="auto"/>
          <w:szCs w:val="21"/>
          <w:highlight w:val="none"/>
          <w:u w:val="single"/>
          <w:lang w:eastAsia="zh-CN"/>
        </w:rPr>
        <w:t xml:space="preserve">（5）承包人因任何原因，未在发包人同意的情况下停工或消极怠工，均视为违约，且在接到复工通知3日内不复工的，发包人有权解除合同，已完工程量按70%计量，且由承包人承担一切损失或按每拖延一天罚合同总价的千分之二，在结算时扣除。</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u w:val="single"/>
          <w:lang w:eastAsia="zh-CN"/>
        </w:rPr>
        <w:t xml:space="preserve">（6）承包人其他违约情形</w:t>
      </w:r>
      <w:r>
        <w:rPr>
          <w:rFonts w:hint="eastAsia"/>
          <w:color w:val="auto"/>
          <w:szCs w:val="21"/>
          <w:highlight w:val="none"/>
          <w:lang w:eastAsia="zh-CN"/>
        </w:rPr>
        <w:t xml:space="preserve">。</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16.2.2承包人违约的责任</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承包人违约责任的承担方式和计算方法：承包人违约的其他情形：</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⑴ 因承包人安全文明措施不到位的或未按规定实施的；</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⑵ 若因承包人原因，导致周边住户和单位投诉或新闻媒体负面曝光；</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⑶ 因承包人原因发生</w:t>
      </w:r>
      <w:r>
        <w:rPr>
          <w:rFonts w:hint="eastAsia"/>
          <w:color w:val="auto"/>
          <w:szCs w:val="21"/>
          <w:highlight w:val="none"/>
          <w:u w:val="single"/>
          <w:lang w:eastAsia="zh-CN"/>
        </w:rPr>
        <w:t xml:space="preserve">安全质量</w:t>
      </w:r>
      <w:r>
        <w:rPr>
          <w:rFonts w:hint="eastAsia"/>
          <w:color w:val="auto"/>
          <w:szCs w:val="21"/>
          <w:highlight w:val="none"/>
          <w:lang w:eastAsia="zh-CN"/>
        </w:rPr>
        <w:t xml:space="preserve">事故给发包人造成影响的；</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⑷ 承包人其他违约情形。</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16.2.3承包人违约责任的承担方式和计算方法：</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⑴承包人违反合同约定进行转包或违法分包的：按合同价的10%进行处罚，并从工程款中直接扣除，经发包人要求仍未整改到位或情节严重的清除出场；</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⑵承包人违反合同约定采购和使用不合格的材料和工程设备的：按发包人要求进行整改，并按材料和工程设备价款的20%进行处罚，并从工程款中直接扣除；</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⑶因承包人原因导致工程质量不符合合同要求的：限期整改，工期不延长； </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⑷承包人违反第8.9款〔材料与设备专用要求〕的约定，未经批准，私自将已按照合同约定进入施工现场的材料或设备撤离施工现场的：限期整改，工期不延长； </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⑸承包人未能按施工进度计划及时完成合同约定的工作，造成工期延误的：每延误一天支付违约金1万元，并从工程款中直接扣除；</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⑹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⑺承包人明确表示或者以其行为表明不履行合同主要义务的：清除出场，扣除履约保证金；如履约保证金不足，发包人有权从已完工程价款中扣除；发包人有损失的，发包人有权要求承包人进行赔偿，并上报建设主管部门；</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⑻因承包人安全文明措施不到位的或未按规定实施的，在接到发包人通知后3天内未按书面通知要求整改的，承包人须按1000元/次向发包人支付违约金，费用在承包人履约保证金中扣除。同时发包人有权另行安排他人完成，费用在承包人工程款中扣除。</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⑼若因承包人原因，导致周边住户和单位投诉或新闻媒体负面曝光的，承包人需承担由此产生的一切后果和费用。每曝光一次承包人需向发包人支付10000元的违约金。</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⑽如承包人不能按规定上报竣工结算，承包人需向发包人支付1000元/天的违约金。违约金从工程竣工结算款中扣除。相关条款涉及的费用除已明确由发包人承担的，均已包含在承包人的总价中。</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⑾如因承包人原因发生安全质量事故给发包人造成影响的，承包人承担违约责任，需向发包人支付保险赔付金20％的违约金。</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⑿因承包人原因导致工期滞后， 自单位工程实际阶段节点工期滞后于单位工程进度计划阶段进度节点第1天起，承包人向发包人支付工期滞后违约金，每天按合同价款的千分之一向发包人支付违约金，违</w:t>
      </w:r>
      <w:r>
        <w:rPr>
          <w:rFonts w:hint="eastAsia"/>
          <w:color w:val="auto"/>
          <w:szCs w:val="21"/>
          <w:highlight w:val="none"/>
          <w:lang w:eastAsia="zh-CN"/>
        </w:rPr>
        <w:t xml:space="preserve">约金在最近一次支付工程进度款时扣除，累加计算。自单位工程实际阶段节点工期滞后于单位工程进度计划阶段进度节点第6天起，承包人向发包人支付工期滞后违约金，每天按合同价款的千分之三向发包人支付违约金，违约金在最近一次支付工程进度款时扣除，累加计算。若工期滞后超过10天，承包人自第11天起按合同价款的千分之六向发包人支付违约金，违约金在最近一次支付工程进度款时扣除，累加计算。对节点工期严重滞后且未采取有效赶工措施，将导致工程延期超过15天的，发包人有权终止合同，更换施工单位，由此造成的一切损失并追究承包人违约责任。</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⒀对严重违约需清除出场的承包人，发包人将其情况书面报告当地及企业所在地建设行政主管部门，向承包人书面提出限期清场的要求并登报公示。</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⒁发包人在现场如发现承包人有下列违规现象时，将对承包人进行处罚，处罚款项从承包人的工程进度款中扣除：</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进入施工现场不戴安全帽，罚款200元/人次；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高空作业不系安全带500元/次；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现场禁止吸烟，发现承包人人员现场吸烟，罚款100元/人次； </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现场材料乱堆乱放，罚款500元/次；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未按施工规范、工艺施工，监理人未验收而进行下一步施工，罚款2000元/次；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承包人人员现场打架斗殴，罚款1000元/人.次；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脚手架搭设明显存在安全隐患，罚款2000元/次；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无保护的高空抛物，罚款2000元/次；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承包人应积极按照创文、创卫、工作要求严格规范施工行为，保证施工现场周边环境整洁卫生，如在创文、创卫、检查出现扣分的，罚款10000元/人次。</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16.2.34 因承包人违约解除合同</w:t>
      </w:r>
      <w:r>
        <w:rPr>
          <w:color w:val="auto"/>
          <w:highlight w:val="none"/>
        </w:rPr>
      </w:r>
    </w:p>
    <w:p>
      <w:pPr>
        <w:ind w:firstLine="420"/>
        <w:pageBreakBefore w:val="0"/>
        <w:spacing w:line="240" w:lineRule="auto"/>
        <w:rPr>
          <w:color w:val="auto"/>
          <w:szCs w:val="21"/>
          <w:highlight w:val="none"/>
        </w:rPr>
      </w:pPr>
      <w:r>
        <w:rPr>
          <w:rFonts w:hint="eastAsia"/>
          <w:color w:val="auto"/>
          <w:szCs w:val="21"/>
          <w:highlight w:val="none"/>
          <w:lang w:eastAsia="zh-CN"/>
        </w:rPr>
        <w:t xml:space="preserve">关于承包人违约解除合同的特别约定：</w:t>
      </w:r>
      <w:r>
        <w:rPr>
          <w:rFonts w:hint="eastAsia"/>
          <w:color w:val="auto"/>
          <w:szCs w:val="21"/>
          <w:highlight w:val="none"/>
          <w:u w:val="single"/>
          <w:lang w:eastAsia="zh-CN"/>
        </w:rPr>
        <w:t xml:space="preserve">在本合同履行过程中，如承包人不同意本工程合同条件；不同意付款比例和时间；自认所报投标价格过低要求发包人调整；自认合同价款过低要求发包人调整；停工或故意拖延施工进度或影响施工质量；要挟发包人提高合同价款；要挟发包人给予某种补偿，发包人将视承包人此几种行为为严重违约，立即终止合同，无条件没收全部履约保证金（或银行履约保函）并暂停对承包人的付款，承包人承担违约责任、支付违约金、赔偿发包人工期和其他实际直接损失，承包人在现场的人员无条件退场</w:t>
      </w:r>
      <w:r>
        <w:rPr>
          <w:rFonts w:hint="eastAsia"/>
          <w:color w:val="auto"/>
          <w:szCs w:val="21"/>
          <w:highlight w:val="none"/>
          <w:lang w:eastAsia="zh-CN"/>
        </w:rPr>
        <w:t xml:space="preserve">。</w:t>
      </w:r>
      <w:r>
        <w:rPr>
          <w:color w:val="auto"/>
          <w:highlight w:val="none"/>
        </w:rPr>
      </w:r>
    </w:p>
    <w:p>
      <w:pPr>
        <w:pStyle w:val="723"/>
        <w:ind w:firstLine="420"/>
        <w:pageBreakBefore w:val="0"/>
        <w:spacing w:line="240" w:lineRule="auto"/>
        <w:rPr>
          <w:color w:val="auto"/>
          <w:szCs w:val="21"/>
          <w:highlight w:val="none"/>
        </w:rPr>
      </w:pPr>
      <w:r>
        <w:rPr>
          <w:rFonts w:hint="eastAsia"/>
          <w:color w:val="auto"/>
          <w:szCs w:val="21"/>
          <w:highlight w:val="none"/>
          <w:lang w:eastAsia="zh-CN"/>
        </w:rPr>
        <w:t xml:space="preserve">发包人继续使用承包人在施工现场的材料、设备、临时工程、承包人文件和由承包人或以其名义编制的其他文件的费用承担方式：</w:t>
      </w:r>
      <w:r>
        <w:rPr>
          <w:rFonts w:hint="eastAsia"/>
          <w:color w:val="auto"/>
          <w:szCs w:val="21"/>
          <w:highlight w:val="none"/>
          <w:u w:val="single"/>
          <w:lang w:eastAsia="zh-CN"/>
        </w:rPr>
        <w:t xml:space="preserve"> 承包人在现场的设备和材料等无条件供发包人使用。发包人继续无偿使用的行为不免除或减轻承包人应承担的违约责任。</w:t>
      </w:r>
      <w:r>
        <w:rPr>
          <w:color w:val="auto"/>
          <w:highlight w:val="none"/>
        </w:rPr>
      </w:r>
    </w:p>
    <w:p>
      <w:pPr>
        <w:ind w:firstLine="422"/>
        <w:pageBreakBefore w:val="0"/>
        <w:spacing w:before="120" w:after="120" w:line="240" w:lineRule="auto"/>
        <w:rPr>
          <w:b/>
          <w:color w:val="auto"/>
          <w:highlight w:val="none"/>
        </w:rPr>
      </w:pPr>
      <w:r>
        <w:rPr>
          <w:rFonts w:hint="eastAsia"/>
          <w:b/>
          <w:color w:val="auto"/>
          <w:highlight w:val="none"/>
          <w:lang w:eastAsia="zh-CN"/>
        </w:rPr>
        <w:t xml:space="preserve">签订合同后被发现存在出借（挂靠）资质的行为，承包人愿意无条件接受被取消中标（承包）资格、投标保证金不予退还、履约保证金不予退还、合同解除及清除出场，并承担一切损失。</w:t>
      </w:r>
      <w:r>
        <w:rPr>
          <w:color w:val="auto"/>
          <w:highlight w:val="none"/>
        </w:rPr>
      </w:r>
    </w:p>
    <w:p>
      <w:pPr>
        <w:pStyle w:val="712"/>
        <w:pageBreakBefore w:val="0"/>
        <w:spacing w:before="120" w:after="120" w:line="260" w:lineRule="exact"/>
        <w:widowControl/>
        <w:rPr>
          <w:b w:val="0"/>
          <w:color w:val="auto"/>
          <w:szCs w:val="21"/>
          <w:highlight w:val="none"/>
        </w:rPr>
      </w:pPr>
      <w:r>
        <w:rPr>
          <w:rFonts w:hint="eastAsia"/>
          <w:b w:val="0"/>
          <w:color w:val="auto"/>
          <w:szCs w:val="21"/>
          <w:highlight w:val="none"/>
          <w:lang w:eastAsia="zh-CN"/>
        </w:rPr>
        <w:t xml:space="preserve">17. 不可抗力 </w:t>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17.1 不可抗力的确认</w:t>
      </w:r>
      <w:r>
        <w:rPr>
          <w:color w:val="auto"/>
          <w:highlight w:val="none"/>
        </w:rPr>
      </w:r>
    </w:p>
    <w:p>
      <w:pPr>
        <w:ind w:firstLine="420"/>
        <w:pageBreakBefore w:val="0"/>
        <w:spacing w:line="260" w:lineRule="exact"/>
        <w:rPr>
          <w:color w:val="auto"/>
          <w:szCs w:val="21"/>
          <w:highlight w:val="none"/>
          <w:u w:val="single"/>
        </w:rPr>
      </w:pPr>
      <w:r>
        <w:rPr>
          <w:rFonts w:hint="eastAsia"/>
          <w:color w:val="auto"/>
          <w:szCs w:val="21"/>
          <w:highlight w:val="none"/>
          <w:lang w:eastAsia="zh-CN"/>
        </w:rPr>
        <w:t xml:space="preserve">除通用合同条款约定的不可抗力事件之外，视为不可抗力的其他情形：</w:t>
      </w:r>
      <w:r>
        <w:rPr>
          <w:rFonts w:hint="eastAsia"/>
          <w:color w:val="auto"/>
          <w:szCs w:val="21"/>
          <w:highlight w:val="none"/>
          <w:u w:val="single"/>
          <w:lang w:eastAsia="zh-CN"/>
        </w:rPr>
        <w:t xml:space="preserve">  战争、动乱、空中飞行物体坠落以及洪水、地震、重大疫情等  </w:t>
      </w:r>
      <w:r>
        <w:rPr>
          <w:rFonts w:hint="eastAsia"/>
          <w:color w:val="auto"/>
          <w:szCs w:val="21"/>
          <w:highlight w:val="none"/>
          <w:lang w:eastAsia="zh-CN"/>
        </w:rPr>
        <w:t xml:space="preserve">。</w:t>
      </w:r>
      <w:r>
        <w:rPr>
          <w:color w:val="auto"/>
          <w:highlight w:val="none"/>
        </w:rPr>
      </w:r>
    </w:p>
    <w:p>
      <w:pPr>
        <w:ind w:firstLine="420"/>
        <w:pageBreakBefore w:val="0"/>
        <w:spacing w:after="120" w:line="260" w:lineRule="exact"/>
        <w:rPr>
          <w:color w:val="auto"/>
          <w:szCs w:val="21"/>
          <w:highlight w:val="none"/>
        </w:rPr>
        <w:outlineLvl w:val="0"/>
      </w:pPr>
      <w:r>
        <w:rPr>
          <w:color w:val="auto"/>
          <w:highlight w:val="none"/>
        </w:rPr>
      </w:r>
      <w:bookmarkStart w:id="221" w:name="_Toc9582"/>
      <w:r>
        <w:rPr>
          <w:color w:val="auto"/>
          <w:highlight w:val="none"/>
        </w:rPr>
      </w:r>
      <w:bookmarkStart w:id="222" w:name="_Toc17409"/>
      <w:r>
        <w:rPr>
          <w:rFonts w:hint="eastAsia"/>
          <w:color w:val="auto"/>
          <w:szCs w:val="21"/>
          <w:highlight w:val="none"/>
          <w:lang w:eastAsia="zh-CN"/>
        </w:rPr>
        <w:t xml:space="preserve">17.4 因不可抗力解除合同</w:t>
      </w:r>
      <w:bookmarkEnd w:id="221"/>
      <w:r>
        <w:rPr>
          <w:color w:val="auto"/>
          <w:highlight w:val="none"/>
        </w:rPr>
      </w:r>
      <w:bookmarkEnd w:id="222"/>
      <w:r>
        <w:rPr>
          <w:color w:val="auto"/>
          <w:highlight w:val="none"/>
        </w:rPr>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合同解除后，发包人应在商定或确定发包人应支付款项后</w:t>
      </w:r>
      <w:r>
        <w:rPr>
          <w:rFonts w:hint="eastAsia"/>
          <w:color w:val="auto"/>
          <w:szCs w:val="21"/>
          <w:highlight w:val="none"/>
          <w:u w:val="single"/>
          <w:lang w:eastAsia="zh-CN"/>
        </w:rPr>
        <w:t xml:space="preserve">  28  </w:t>
      </w:r>
      <w:r>
        <w:rPr>
          <w:rFonts w:hint="eastAsia"/>
          <w:color w:val="auto"/>
          <w:szCs w:val="21"/>
          <w:highlight w:val="none"/>
          <w:lang w:eastAsia="zh-CN"/>
        </w:rPr>
        <w:t xml:space="preserve">天内完成款项的支付。</w:t>
      </w:r>
      <w:r>
        <w:rPr>
          <w:color w:val="auto"/>
          <w:highlight w:val="none"/>
        </w:rPr>
      </w:r>
    </w:p>
    <w:p>
      <w:pPr>
        <w:pStyle w:val="712"/>
        <w:pageBreakBefore w:val="0"/>
        <w:spacing w:before="120" w:after="120" w:line="260" w:lineRule="exact"/>
        <w:widowControl/>
        <w:rPr>
          <w:b w:val="0"/>
          <w:color w:val="auto"/>
          <w:szCs w:val="21"/>
          <w:highlight w:val="none"/>
        </w:rPr>
      </w:pPr>
      <w:r>
        <w:rPr>
          <w:rFonts w:hint="eastAsia"/>
          <w:b w:val="0"/>
          <w:color w:val="auto"/>
          <w:szCs w:val="21"/>
          <w:highlight w:val="none"/>
          <w:lang w:eastAsia="zh-CN"/>
        </w:rPr>
        <w:t xml:space="preserve">18. 保险</w:t>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18.1 工程保险</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工程事故保险，执行江苏省建筑市场管理条例第十八条规定，一切事故均与发包人无关。建筑工程一切险由承包人办理，以承包人与发包人名义联名投保，投保条件与保险费率由承包人根据江苏省保险行业协会有关工程保险的相关规定自行考虑，该项费用含在合同价中。</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第三者责任险由承包人办理，以承包人与发包人名义联名投保，投保条件与保险费率由承包人根据江苏省保险行业协会有关工程保险的相关规定自行考虑，该项费用含在合同价中。</w:t>
      </w:r>
      <w:r>
        <w:rPr>
          <w:color w:val="auto"/>
          <w:highlight w:val="none"/>
        </w:rPr>
      </w:r>
    </w:p>
    <w:p>
      <w:pPr>
        <w:ind w:firstLine="420"/>
        <w:pageBreakBefore w:val="0"/>
        <w:spacing w:line="260" w:lineRule="exact"/>
        <w:rPr>
          <w:color w:val="auto"/>
          <w:szCs w:val="21"/>
          <w:highlight w:val="none"/>
        </w:rPr>
        <w:outlineLvl w:val="0"/>
      </w:pPr>
      <w:r>
        <w:rPr>
          <w:color w:val="auto"/>
          <w:highlight w:val="none"/>
        </w:rPr>
      </w:r>
      <w:bookmarkStart w:id="223" w:name="_Toc18327"/>
      <w:r>
        <w:rPr>
          <w:color w:val="auto"/>
          <w:highlight w:val="none"/>
        </w:rPr>
      </w:r>
      <w:bookmarkStart w:id="224" w:name="_Toc32070"/>
      <w:r>
        <w:rPr>
          <w:rFonts w:hint="eastAsia"/>
          <w:color w:val="auto"/>
          <w:szCs w:val="21"/>
          <w:highlight w:val="none"/>
          <w:lang w:eastAsia="zh-CN"/>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bookmarkEnd w:id="223"/>
      <w:r>
        <w:rPr>
          <w:color w:val="auto"/>
          <w:highlight w:val="none"/>
        </w:rPr>
      </w:r>
      <w:bookmarkEnd w:id="224"/>
      <w:r>
        <w:rPr>
          <w:color w:val="auto"/>
          <w:highlight w:val="none"/>
        </w:rPr>
      </w:r>
      <w:r>
        <w:rPr>
          <w:color w:val="auto"/>
          <w:highlight w:val="none"/>
        </w:rPr>
      </w:r>
    </w:p>
    <w:p>
      <w:pPr>
        <w:ind w:firstLine="420"/>
        <w:pageBreakBefore w:val="0"/>
        <w:spacing w:after="120" w:line="260" w:lineRule="exact"/>
        <w:rPr>
          <w:color w:val="auto"/>
          <w:szCs w:val="21"/>
          <w:highlight w:val="none"/>
        </w:rPr>
        <w:outlineLvl w:val="0"/>
      </w:pPr>
      <w:r>
        <w:rPr>
          <w:color w:val="auto"/>
          <w:highlight w:val="none"/>
        </w:rPr>
      </w:r>
      <w:bookmarkStart w:id="225" w:name="_Toc19283"/>
      <w:r>
        <w:rPr>
          <w:color w:val="auto"/>
          <w:highlight w:val="none"/>
        </w:rPr>
      </w:r>
      <w:bookmarkStart w:id="226" w:name="_Toc27124"/>
      <w:r>
        <w:rPr>
          <w:rFonts w:hint="eastAsia"/>
          <w:color w:val="auto"/>
          <w:szCs w:val="21"/>
          <w:highlight w:val="none"/>
          <w:lang w:eastAsia="zh-CN"/>
        </w:rPr>
        <w:t xml:space="preserve">18.3 其他保险</w:t>
      </w:r>
      <w:bookmarkEnd w:id="225"/>
      <w:r>
        <w:rPr>
          <w:color w:val="auto"/>
          <w:highlight w:val="none"/>
        </w:rPr>
      </w:r>
      <w:bookmarkEnd w:id="226"/>
      <w:r>
        <w:rPr>
          <w:color w:val="auto"/>
          <w:highlight w:val="none"/>
        </w:rPr>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关于其他保险的约定：</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(1) 保险合同需经发包人审批。</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 保险事故发生时，承包人有责任尽力采取必要的措施，防止或者减少损失。</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(3) 如发生保险事故时，承包人应负责向保险公司索赔及办理赔付事宜。</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(4) 合同生效后，承包人必须在工程开工前办理保险，如承包人未办理保险的，发包人有权从工程进度款中扣除此工程保险费用，直接选择保险人。</w:t>
      </w:r>
      <w:r>
        <w:rPr>
          <w:color w:val="auto"/>
          <w:highlight w:val="none"/>
        </w:rPr>
      </w:r>
    </w:p>
    <w:p>
      <w:pPr>
        <w:ind w:firstLine="420"/>
        <w:pageBreakBefore w:val="0"/>
        <w:spacing w:line="260" w:lineRule="exact"/>
        <w:rPr>
          <w:color w:val="auto"/>
          <w:szCs w:val="21"/>
          <w:highlight w:val="none"/>
          <w:u w:val="single"/>
        </w:rPr>
      </w:pPr>
      <w:r>
        <w:rPr>
          <w:rFonts w:hint="eastAsia"/>
          <w:color w:val="auto"/>
          <w:szCs w:val="21"/>
          <w:highlight w:val="none"/>
          <w:lang w:eastAsia="zh-CN"/>
        </w:rPr>
        <w:t xml:space="preserve">承包人是否应为其施工设备等办理财产保险：</w:t>
      </w:r>
      <w:r>
        <w:rPr>
          <w:rFonts w:hint="eastAsia"/>
          <w:color w:val="auto"/>
          <w:szCs w:val="21"/>
          <w:highlight w:val="none"/>
          <w:u w:val="single"/>
          <w:lang w:eastAsia="zh-CN"/>
        </w:rPr>
        <w:t xml:space="preserve">承包人为其施工设备等办理财产保险</w:t>
      </w:r>
      <w:r>
        <w:rPr>
          <w:rFonts w:hint="eastAsia"/>
          <w:color w:val="auto"/>
          <w:szCs w:val="21"/>
          <w:highlight w:val="none"/>
          <w:lang w:eastAsia="zh-CN"/>
        </w:rPr>
        <w:t xml:space="preserve">。</w:t>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18.7 通知义务</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关于变更保险合同时的通知义务的约定：</w:t>
      </w:r>
      <w:r>
        <w:rPr>
          <w:rFonts w:hint="eastAsia"/>
          <w:color w:val="auto"/>
          <w:szCs w:val="21"/>
          <w:highlight w:val="none"/>
          <w:u w:val="single"/>
          <w:lang w:eastAsia="zh-CN"/>
        </w:rPr>
        <w:t xml:space="preserve">变更前应事先征得对方同意并通知</w:t>
      </w:r>
      <w:r>
        <w:rPr>
          <w:rFonts w:hint="eastAsia"/>
          <w:color w:val="auto"/>
          <w:szCs w:val="21"/>
          <w:highlight w:val="none"/>
          <w:u w:val="single"/>
          <w:lang w:val="en-US" w:eastAsia="zh-CN"/>
        </w:rPr>
        <w:t xml:space="preserve">发包</w:t>
      </w:r>
      <w:r>
        <w:rPr>
          <w:rFonts w:hint="eastAsia"/>
          <w:color w:val="auto"/>
          <w:szCs w:val="21"/>
          <w:highlight w:val="none"/>
          <w:u w:val="single"/>
          <w:lang w:eastAsia="zh-CN"/>
        </w:rPr>
        <w:t xml:space="preserve">人</w:t>
      </w:r>
      <w:r>
        <w:rPr>
          <w:rFonts w:hint="eastAsia"/>
          <w:color w:val="auto"/>
          <w:szCs w:val="21"/>
          <w:highlight w:val="none"/>
          <w:lang w:eastAsia="zh-CN"/>
        </w:rPr>
        <w:t xml:space="preserve">。</w:t>
      </w:r>
      <w:r>
        <w:rPr>
          <w:color w:val="auto"/>
          <w:highlight w:val="none"/>
        </w:rPr>
      </w:r>
    </w:p>
    <w:p>
      <w:pPr>
        <w:pStyle w:val="712"/>
        <w:pageBreakBefore w:val="0"/>
        <w:spacing w:before="120" w:after="120" w:line="260" w:lineRule="exact"/>
        <w:widowControl/>
        <w:rPr>
          <w:b w:val="0"/>
          <w:color w:val="auto"/>
          <w:szCs w:val="21"/>
          <w:highlight w:val="none"/>
        </w:rPr>
      </w:pPr>
      <w:r>
        <w:rPr>
          <w:rFonts w:hint="eastAsia"/>
          <w:b w:val="0"/>
          <w:color w:val="auto"/>
          <w:szCs w:val="21"/>
          <w:highlight w:val="none"/>
          <w:lang w:eastAsia="zh-CN"/>
        </w:rPr>
        <w:t xml:space="preserve">20. 争议解决</w:t>
      </w:r>
      <w:r>
        <w:rPr>
          <w:color w:val="auto"/>
          <w:highlight w:val="none"/>
        </w:rPr>
      </w:r>
    </w:p>
    <w:p>
      <w:pPr>
        <w:ind w:firstLine="420"/>
        <w:pageBreakBefore w:val="0"/>
        <w:spacing w:after="120" w:line="260" w:lineRule="exact"/>
        <w:rPr>
          <w:color w:val="auto"/>
          <w:szCs w:val="21"/>
          <w:highlight w:val="none"/>
        </w:rPr>
        <w:outlineLvl w:val="0"/>
      </w:pPr>
      <w:r>
        <w:rPr>
          <w:color w:val="auto"/>
          <w:highlight w:val="none"/>
        </w:rPr>
      </w:r>
      <w:bookmarkStart w:id="227" w:name="_Toc17340"/>
      <w:r>
        <w:rPr>
          <w:color w:val="auto"/>
          <w:highlight w:val="none"/>
        </w:rPr>
      </w:r>
      <w:bookmarkStart w:id="228" w:name="_Toc1881"/>
      <w:r>
        <w:rPr>
          <w:rFonts w:hint="eastAsia"/>
          <w:color w:val="auto"/>
          <w:szCs w:val="21"/>
          <w:highlight w:val="none"/>
          <w:lang w:eastAsia="zh-CN"/>
        </w:rPr>
        <w:t xml:space="preserve">20.3 争议评审</w:t>
      </w:r>
      <w:bookmarkEnd w:id="227"/>
      <w:r>
        <w:rPr>
          <w:color w:val="auto"/>
          <w:highlight w:val="none"/>
        </w:rPr>
      </w:r>
      <w:bookmarkEnd w:id="228"/>
      <w:r>
        <w:rPr>
          <w:color w:val="auto"/>
          <w:highlight w:val="none"/>
        </w:rPr>
      </w:r>
      <w:r>
        <w:rPr>
          <w:color w:val="auto"/>
          <w:highlight w:val="none"/>
        </w:rPr>
      </w:r>
    </w:p>
    <w:p>
      <w:pPr>
        <w:ind w:left="149" w:firstLine="315"/>
        <w:pageBreakBefore w:val="0"/>
        <w:spacing w:line="260" w:lineRule="exact"/>
        <w:rPr>
          <w:color w:val="auto"/>
          <w:szCs w:val="21"/>
          <w:highlight w:val="none"/>
        </w:rPr>
      </w:pPr>
      <w:r>
        <w:rPr>
          <w:rFonts w:hint="eastAsia"/>
          <w:color w:val="auto"/>
          <w:szCs w:val="21"/>
          <w:highlight w:val="none"/>
          <w:lang w:eastAsia="zh-CN"/>
        </w:rPr>
        <w:t xml:space="preserve">合同当事人是否同意将工程争议提交争议评审小组决定：</w:t>
      </w:r>
      <w:r>
        <w:rPr>
          <w:rFonts w:hint="eastAsia"/>
          <w:color w:val="auto"/>
          <w:szCs w:val="21"/>
          <w:highlight w:val="none"/>
          <w:u w:val="single"/>
          <w:lang w:eastAsia="zh-CN"/>
        </w:rPr>
        <w:t xml:space="preserve"> 不同意 </w:t>
      </w:r>
      <w:r>
        <w:rPr>
          <w:rFonts w:hint="eastAsia"/>
          <w:color w:val="auto"/>
          <w:szCs w:val="21"/>
          <w:highlight w:val="none"/>
          <w:lang w:eastAsia="zh-CN"/>
        </w:rPr>
        <w:t xml:space="preserve">。</w:t>
      </w:r>
      <w:r>
        <w:rPr>
          <w:color w:val="auto"/>
          <w:highlight w:val="none"/>
        </w:rPr>
      </w:r>
    </w:p>
    <w:p>
      <w:pPr>
        <w:ind w:firstLine="420"/>
        <w:pageBreakBefore w:val="0"/>
        <w:spacing w:line="260" w:lineRule="exact"/>
        <w:rPr>
          <w:color w:val="auto"/>
          <w:szCs w:val="21"/>
          <w:highlight w:val="none"/>
        </w:rPr>
        <w:outlineLvl w:val="0"/>
      </w:pPr>
      <w:r>
        <w:rPr>
          <w:color w:val="auto"/>
          <w:highlight w:val="none"/>
        </w:rPr>
      </w:r>
      <w:bookmarkStart w:id="229" w:name="_Toc8602"/>
      <w:r>
        <w:rPr>
          <w:color w:val="auto"/>
          <w:highlight w:val="none"/>
        </w:rPr>
      </w:r>
      <w:bookmarkStart w:id="230" w:name="_Toc25994"/>
      <w:r>
        <w:rPr>
          <w:rFonts w:hint="eastAsia"/>
          <w:color w:val="auto"/>
          <w:szCs w:val="21"/>
          <w:highlight w:val="none"/>
          <w:lang w:eastAsia="zh-CN"/>
        </w:rPr>
        <w:t xml:space="preserve">20.3.1 争议评审小组的确定</w:t>
      </w:r>
      <w:bookmarkEnd w:id="229"/>
      <w:r>
        <w:rPr>
          <w:color w:val="auto"/>
          <w:highlight w:val="none"/>
        </w:rPr>
      </w:r>
      <w:bookmarkEnd w:id="230"/>
      <w:r>
        <w:rPr>
          <w:color w:val="auto"/>
          <w:highlight w:val="none"/>
        </w:rPr>
      </w:r>
      <w:r>
        <w:rPr>
          <w:color w:val="auto"/>
          <w:highlight w:val="none"/>
        </w:rPr>
      </w:r>
    </w:p>
    <w:p>
      <w:pPr>
        <w:ind w:firstLine="420"/>
        <w:pageBreakBefore w:val="0"/>
        <w:spacing w:line="260" w:lineRule="exact"/>
        <w:rPr>
          <w:color w:val="auto"/>
          <w:szCs w:val="21"/>
          <w:highlight w:val="none"/>
          <w:u w:val="single"/>
        </w:rPr>
      </w:pPr>
      <w:r>
        <w:rPr>
          <w:rFonts w:hint="eastAsia"/>
          <w:color w:val="auto"/>
          <w:szCs w:val="21"/>
          <w:highlight w:val="none"/>
          <w:lang w:eastAsia="zh-CN"/>
        </w:rPr>
        <w:t xml:space="preserve">争议评审小组成员的确定：</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选定争议评审员的期限：</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争议评审小组成员的报酬承担方式：</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其他事项的约定：</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line="260" w:lineRule="exact"/>
        <w:rPr>
          <w:color w:val="auto"/>
          <w:szCs w:val="21"/>
          <w:highlight w:val="none"/>
        </w:rPr>
        <w:outlineLvl w:val="0"/>
      </w:pPr>
      <w:r>
        <w:rPr>
          <w:color w:val="auto"/>
          <w:highlight w:val="none"/>
        </w:rPr>
      </w:r>
      <w:bookmarkStart w:id="231" w:name="_Toc7257"/>
      <w:r>
        <w:rPr>
          <w:color w:val="auto"/>
          <w:highlight w:val="none"/>
        </w:rPr>
      </w:r>
      <w:bookmarkStart w:id="232" w:name="_Toc9804"/>
      <w:r>
        <w:rPr>
          <w:rFonts w:hint="eastAsia"/>
          <w:color w:val="auto"/>
          <w:szCs w:val="21"/>
          <w:highlight w:val="none"/>
          <w:lang w:eastAsia="zh-CN"/>
        </w:rPr>
        <w:t xml:space="preserve">20.3.2 争议评审小组的决定</w:t>
      </w:r>
      <w:bookmarkEnd w:id="231"/>
      <w:r>
        <w:rPr>
          <w:color w:val="auto"/>
          <w:highlight w:val="none"/>
        </w:rPr>
      </w:r>
      <w:bookmarkEnd w:id="232"/>
      <w:r>
        <w:rPr>
          <w:color w:val="auto"/>
          <w:highlight w:val="none"/>
        </w:rPr>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合同当事人关于本项的约定：</w:t>
      </w:r>
      <w:r>
        <w:rPr>
          <w:rFonts w:hint="eastAsia"/>
          <w:color w:val="auto"/>
          <w:szCs w:val="21"/>
          <w:highlight w:val="none"/>
          <w:u w:val="single"/>
          <w:lang w:eastAsia="zh-CN"/>
        </w:rPr>
        <w:t xml:space="preserve">           /                </w:t>
      </w:r>
      <w:r>
        <w:rPr>
          <w:rFonts w:hint="eastAsia"/>
          <w:color w:val="auto"/>
          <w:szCs w:val="21"/>
          <w:highlight w:val="none"/>
          <w:lang w:eastAsia="zh-CN"/>
        </w:rPr>
        <w:t xml:space="preserve">。</w:t>
      </w:r>
      <w:r>
        <w:rPr>
          <w:color w:val="auto"/>
          <w:highlight w:val="none"/>
        </w:rPr>
      </w:r>
    </w:p>
    <w:p>
      <w:pPr>
        <w:ind w:firstLine="420"/>
        <w:pageBreakBefore w:val="0"/>
        <w:spacing w:after="120" w:line="260" w:lineRule="exact"/>
        <w:rPr>
          <w:color w:val="auto"/>
          <w:szCs w:val="21"/>
          <w:highlight w:val="none"/>
        </w:rPr>
        <w:outlineLvl w:val="0"/>
      </w:pPr>
      <w:r>
        <w:rPr>
          <w:color w:val="auto"/>
          <w:highlight w:val="none"/>
        </w:rPr>
      </w:r>
      <w:bookmarkStart w:id="233" w:name="_Toc11059"/>
      <w:r>
        <w:rPr>
          <w:color w:val="auto"/>
          <w:highlight w:val="none"/>
        </w:rPr>
      </w:r>
      <w:bookmarkStart w:id="234" w:name="_Toc23944"/>
      <w:r>
        <w:rPr>
          <w:rFonts w:hint="eastAsia"/>
          <w:color w:val="auto"/>
          <w:szCs w:val="21"/>
          <w:highlight w:val="none"/>
          <w:lang w:eastAsia="zh-CN"/>
        </w:rPr>
        <w:t xml:space="preserve">20.4仲裁或诉讼</w:t>
      </w:r>
      <w:bookmarkEnd w:id="233"/>
      <w:r>
        <w:rPr>
          <w:color w:val="auto"/>
          <w:highlight w:val="none"/>
        </w:rPr>
      </w:r>
      <w:bookmarkEnd w:id="234"/>
      <w:r>
        <w:rPr>
          <w:color w:val="auto"/>
          <w:highlight w:val="none"/>
        </w:rPr>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因合同及合同有关事项发生的争议，按下列第</w:t>
      </w:r>
      <w:r>
        <w:rPr>
          <w:rFonts w:hint="eastAsia"/>
          <w:color w:val="auto"/>
          <w:szCs w:val="21"/>
          <w:highlight w:val="none"/>
          <w:u w:val="single"/>
          <w:lang w:eastAsia="zh-CN"/>
        </w:rPr>
        <w:t xml:space="preserve">  2 </w:t>
      </w:r>
      <w:r>
        <w:rPr>
          <w:rFonts w:hint="eastAsia"/>
          <w:color w:val="auto"/>
          <w:szCs w:val="21"/>
          <w:highlight w:val="none"/>
          <w:lang w:eastAsia="zh-CN"/>
        </w:rPr>
        <w:t xml:space="preserve">种方式解决：</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（1）向</w:t>
      </w:r>
      <w:r>
        <w:rPr>
          <w:rFonts w:hint="eastAsia"/>
          <w:color w:val="auto"/>
          <w:szCs w:val="21"/>
          <w:highlight w:val="none"/>
          <w:u w:val="single"/>
          <w:lang w:eastAsia="zh-CN"/>
        </w:rPr>
        <w:t xml:space="preserve">   连云港市      </w:t>
      </w:r>
      <w:r>
        <w:rPr>
          <w:rFonts w:hint="eastAsia"/>
          <w:color w:val="auto"/>
          <w:szCs w:val="21"/>
          <w:highlight w:val="none"/>
          <w:lang w:eastAsia="zh-CN"/>
        </w:rPr>
        <w:t xml:space="preserve">仲裁委员会申请仲裁；</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（2）向</w:t>
      </w:r>
      <w:r>
        <w:rPr>
          <w:color w:val="auto"/>
          <w:spacing w:val="15"/>
          <w:highlight w:val="none"/>
          <w:u w:val="single"/>
          <w:lang w:eastAsia="zh-CN"/>
        </w:rPr>
        <w:t xml:space="preserve">项目所在地</w:t>
      </w:r>
      <w:r>
        <w:rPr>
          <w:rFonts w:hint="eastAsia"/>
          <w:color w:val="auto"/>
          <w:szCs w:val="21"/>
          <w:highlight w:val="none"/>
          <w:lang w:eastAsia="zh-CN"/>
        </w:rPr>
        <w:t xml:space="preserve">人民法院起诉。</w:t>
      </w:r>
      <w:r>
        <w:rPr>
          <w:color w:val="auto"/>
          <w:highlight w:val="none"/>
        </w:rPr>
      </w:r>
    </w:p>
    <w:p>
      <w:pPr>
        <w:pageBreakBefore w:val="0"/>
        <w:spacing w:line="260" w:lineRule="exact"/>
        <w:rPr>
          <w:color w:val="auto"/>
          <w:szCs w:val="21"/>
          <w:highlight w:val="none"/>
        </w:rPr>
      </w:pPr>
      <w:r>
        <w:rPr>
          <w:rFonts w:hint="eastAsia"/>
          <w:color w:val="auto"/>
          <w:szCs w:val="21"/>
          <w:highlight w:val="none"/>
          <w:lang w:eastAsia="zh-CN"/>
        </w:rPr>
        <w:t xml:space="preserve">21、补充条款：</w:t>
      </w:r>
      <w:r>
        <w:rPr>
          <w:color w:val="auto"/>
          <w:highlight w:val="none"/>
        </w:rPr>
      </w:r>
    </w:p>
    <w:p>
      <w:pPr>
        <w:ind w:firstLine="422"/>
        <w:pageBreakBefore w:val="0"/>
        <w:spacing w:line="260" w:lineRule="exact"/>
        <w:rPr>
          <w:b/>
          <w:bCs/>
          <w:color w:val="auto"/>
          <w:highlight w:val="none"/>
        </w:rPr>
      </w:pPr>
      <w:r>
        <w:rPr>
          <w:rFonts w:hint="eastAsia"/>
          <w:b/>
          <w:bCs/>
          <w:color w:val="auto"/>
          <w:szCs w:val="21"/>
          <w:highlight w:val="none"/>
          <w:lang w:eastAsia="zh-CN"/>
        </w:rPr>
        <w:t xml:space="preserve">21.1本工程要求承包人在中标通知书发出后7日内向发包人提供中标价10%的履约保证金或银行保函或第三方担保的不少于</w:t>
      </w:r>
      <w:r>
        <w:rPr>
          <w:rFonts w:hint="eastAsia"/>
          <w:b/>
          <w:bCs/>
          <w:color w:val="auto"/>
          <w:szCs w:val="21"/>
          <w:highlight w:val="none"/>
          <w:lang w:val="en-US" w:eastAsia="zh-CN"/>
        </w:rPr>
        <w:t xml:space="preserve">磋商文件</w:t>
      </w:r>
      <w:r>
        <w:rPr>
          <w:rFonts w:hint="eastAsia"/>
          <w:b/>
          <w:bCs/>
          <w:color w:val="auto"/>
          <w:szCs w:val="21"/>
          <w:highlight w:val="none"/>
          <w:lang w:eastAsia="zh-CN"/>
        </w:rPr>
        <w:t xml:space="preserve">规定金额的银行保函，否则视为承包人自动放弃中标资格，承包人承担一切经济责任和法律责任并赔偿发包人一切损失。</w:t>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21.2在合同履行过程中，发包人有权核实承包人的企业资质、项目负责人及项目部的主要成员资格、学历和劳动关系证明等原件，承包人人员资格的所有特殊工种人员均应符合有关规定，持有有关部门颁发的资质证书或上岗证，并在施工上岗前提供给发包人和监理人审查。若发现承包人存在弄虚作假行为的，发包人有权中止合同，由承包人负责由此造成的一切损失。</w:t>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21.3合同签订后，若承包人不按合同双方约定进场施工，发包人有权没收承包人的合同履约保证金并终止合同。若因承包人原因未按时完成工程进度（特别申明：承包人未按施工进度计划要求完成施工内容）视同承包人违约，发包人有权没收承包人的合同履约保证金并终止合同，同时进行强制性清场，承包人须无条件撤离施工现场。</w:t>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21.4在施工期间，承包人必须对已有工程设施予以保护，不得因施工造成对其他设施的破坏和损害，若发生破坏和损害，一切责任（包括费用）均由承包人承担。</w:t>
      </w:r>
      <w:r>
        <w:rPr>
          <w:color w:val="auto"/>
          <w:highlight w:val="none"/>
        </w:rPr>
      </w:r>
    </w:p>
    <w:p>
      <w:pPr>
        <w:ind w:firstLine="420"/>
        <w:pageBreakBefore w:val="0"/>
        <w:spacing w:after="120" w:line="260" w:lineRule="exact"/>
        <w:rPr>
          <w:rFonts w:hint="eastAsia"/>
          <w:color w:val="auto"/>
          <w:szCs w:val="21"/>
          <w:highlight w:val="none"/>
        </w:rPr>
      </w:pPr>
      <w:r>
        <w:rPr>
          <w:rFonts w:hint="eastAsia"/>
          <w:color w:val="auto"/>
          <w:szCs w:val="21"/>
          <w:highlight w:val="none"/>
          <w:lang w:eastAsia="zh-CN"/>
        </w:rPr>
        <w:t xml:space="preserve">21.5承包人必须严格按国家施工验收规范及地方相关规定进行本工程的施工，承包人在施工中应严格隐蔽工程验收制度，凡有违于此造成的一切直接或间接责任均由承包人承担。本工程须执行现行建筑设计与施工验收规范。若政府主管部门、有关单位或发包人有更高的规定、守则，承包人必须遵守，承包人不得借此要求发包人增加费用和施工工期。</w:t>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21.6承包人应严格按照《连云港市建设安全监督管理规定》执行，抓好现场安全管理，杜绝安全事故发生。在施工过程中造成的一切质量安全事故均由承包人承担，与发包人无关。</w:t>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21.7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同时从合同履约保证金中扣除相应损失部分（含拖欠的民工工资）的10%违约金，直至扣完为止。对发包人造成的一切损失均由承包人承担。</w:t>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21.8无论发包人是否给予了批准或者同意，承包人应对现场作业、施工方法及施工过程的完整性、稳定性和安全性承担全部责任，负责完成对工程的稳定、完整、安全、可靠及有效运行所必需的全部工作。</w:t>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21.9无论</w:t>
      </w:r>
      <w:r>
        <w:rPr>
          <w:rFonts w:hint="eastAsia"/>
          <w:color w:val="auto"/>
          <w:szCs w:val="21"/>
          <w:highlight w:val="none"/>
          <w:lang w:val="en-US" w:eastAsia="zh-CN"/>
        </w:rPr>
        <w:t xml:space="preserve">发包</w:t>
      </w:r>
      <w:r>
        <w:rPr>
          <w:rFonts w:hint="eastAsia"/>
          <w:color w:val="auto"/>
          <w:szCs w:val="21"/>
          <w:highlight w:val="none"/>
          <w:lang w:eastAsia="zh-CN"/>
        </w:rPr>
        <w:t xml:space="preserve">人是否进行并通过各项检验，均不解除承包人对自己承包的工程质量所负责任。除非质量问题是由于设计原因引起，而此类质量问题承包人发现后有义务及时通知监理人。</w:t>
      </w:r>
      <w:r>
        <w:rPr>
          <w:color w:val="auto"/>
          <w:highlight w:val="none"/>
        </w:rPr>
      </w:r>
    </w:p>
    <w:p>
      <w:pPr>
        <w:ind w:firstLine="420"/>
        <w:pageBreakBefore w:val="0"/>
        <w:spacing w:after="120" w:line="260" w:lineRule="exact"/>
        <w:rPr>
          <w:color w:val="auto"/>
          <w:szCs w:val="21"/>
          <w:highlight w:val="none"/>
        </w:rPr>
      </w:pPr>
      <w:r>
        <w:rPr>
          <w:rFonts w:hint="eastAsia"/>
          <w:color w:val="auto"/>
          <w:szCs w:val="21"/>
          <w:highlight w:val="none"/>
          <w:lang w:eastAsia="zh-CN"/>
        </w:rPr>
        <w:t xml:space="preserve">21.10无论工程材料是由承包人自行采购或甲供或甲控乙供，承包人应该对各种材料、器材、设备按规范规程进行检查，拒绝不符合要求的材料、器材、设备用于工程。如因承包人未履行以上职责出现不合格材料、器材、设备用于工程则全部由承包人承担责任。</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21.11承包人应遵守当地政府有关主管部门对施工场地和城市道路、周边建筑污水、渣土、环保（含施工噪音、施工粉尘）、环卫、市容、城建、治安、交通、创文、创卫、疫情防控、扬尘、人口管理及安全生产等管理规定，按政府及有关主管部门规定缴纳上述各项费用，办理相关手续，并以书面形式将办理结果通知发包人。承包人将办理上述事项的费用综合考虑在合同价款中，不再调整。</w:t>
      </w:r>
      <w:r>
        <w:rPr>
          <w:color w:val="auto"/>
          <w:highlight w:val="none"/>
        </w:rPr>
      </w:r>
    </w:p>
    <w:p>
      <w:pPr>
        <w:ind w:firstLine="422"/>
        <w:pageBreakBefore w:val="0"/>
        <w:spacing w:line="260" w:lineRule="exact"/>
        <w:rPr>
          <w:b/>
          <w:bCs/>
          <w:color w:val="auto"/>
          <w:szCs w:val="21"/>
          <w:highlight w:val="none"/>
        </w:rPr>
      </w:pPr>
      <w:r>
        <w:rPr>
          <w:rFonts w:hint="eastAsia"/>
          <w:b/>
          <w:bCs/>
          <w:color w:val="auto"/>
          <w:szCs w:val="21"/>
          <w:highlight w:val="none"/>
          <w:lang w:eastAsia="zh-CN"/>
        </w:rPr>
        <w:t xml:space="preserve">21.12挂靠、借用资质：在合同执行过程中，如发现实际施工组织为挂靠、借用资质的，发包人有权解除合同。因此产生的一切经济、法律等后果，由承包人承担。</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21.13在施工期内，承包人应坚持每次工程例会制度的严肃性和权威性。对发包人在工程例会上布置的工作应不折不扣地加以完成，承包人应以工程例会纪要作为现场工作指导。否则，发包人有权追究承包人的违约责任。</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21.14所有涉及到工期、费用、质量等的设计变更、指令、工程签证单须由发包人签字、盖章、统一编码（编号应连续）后方可作为工程结算的有效依据，否则该施工指令或签证为无效计价文件。对发包人已签字盖章但涉及到费用的工程签证，如其工作内容及相关费用已包含在合同价中，经发包人专业造价人员核实，该设计变更、工程签证的费用结算时不予计价、计费。任何涉及到费用增减的设计变更、工程签证承包人均应提交详细的工程量计算书以及详细的计价过程、计价依据等资料供发包人审核。否则该设计变更、工程签证的将不予结算。</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21.15发包人有权审核、优化承包人的施工方案和进度计划，承包人必须接受发包人对施工方案、施工进度的优化或替换方案。承包人的合同价中已包含此项风险费用，承包人无权因此要求任何工期延长或费用上的补偿。承包人如对合同约定的或已由发包人审核确认的施工方案进行重大调整时，承包人必须将调整的原因及替代方案事先报发包人同意后方可实施，否则，发包人有权追究承包人的违约责任。</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21.16施工过程中与周围发生的纠纷由承包人自行协商解决，费用由承包人自理，该费用应包含在合同价中。</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21.17承包人在施工过程中存在严重的安全和质量隐患，监理下达通知后施工单位在规定时间内不予执行，发包人有权随时终止合同。承包人承诺绝对不以占用、滞留施工场地的方法拖延撤场，干扰发包人继续后续工程的施工。</w:t>
      </w:r>
      <w:r>
        <w:rPr>
          <w:color w:val="auto"/>
          <w:highlight w:val="none"/>
        </w:rPr>
      </w:r>
    </w:p>
    <w:p>
      <w:pPr>
        <w:ind w:firstLine="422"/>
        <w:pageBreakBefore w:val="0"/>
        <w:spacing w:line="260" w:lineRule="exact"/>
        <w:rPr>
          <w:b/>
          <w:bCs/>
          <w:color w:val="auto"/>
          <w:szCs w:val="21"/>
          <w:highlight w:val="none"/>
        </w:rPr>
      </w:pPr>
      <w:r>
        <w:rPr>
          <w:rFonts w:hint="eastAsia"/>
          <w:b/>
          <w:bCs/>
          <w:color w:val="auto"/>
          <w:szCs w:val="21"/>
          <w:highlight w:val="none"/>
          <w:lang w:eastAsia="zh-CN"/>
        </w:rPr>
        <w:t xml:space="preserve">21.18承包人在施工现场安装生物识别网络管理系统，费用综合考虑在投标报价中，不单列。</w:t>
      </w:r>
      <w:r>
        <w:rPr>
          <w:color w:val="auto"/>
          <w:highlight w:val="none"/>
        </w:rPr>
      </w:r>
    </w:p>
    <w:p>
      <w:pPr>
        <w:ind w:firstLine="422"/>
        <w:pageBreakBefore w:val="0"/>
        <w:spacing w:line="260" w:lineRule="exact"/>
        <w:rPr>
          <w:b/>
          <w:bCs/>
          <w:color w:val="auto"/>
          <w:szCs w:val="21"/>
          <w:highlight w:val="none"/>
        </w:rPr>
      </w:pPr>
      <w:r>
        <w:rPr>
          <w:rFonts w:hint="eastAsia"/>
          <w:b/>
          <w:bCs/>
          <w:color w:val="auto"/>
          <w:szCs w:val="21"/>
          <w:highlight w:val="none"/>
          <w:lang w:eastAsia="zh-CN"/>
        </w:rPr>
        <w:t xml:space="preserve">21.19发包人谢绝借牌挂靠单位参与本工程的投标。如在招投标过程中发现借牌挂靠单位投标并中标的，将取消其投标及中标（候选人）资格，投标保证金不予退还。</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21.20承包人与发包人签订质量保修书、安全生产协议书、廉政管理协议书、中标人诚信承诺书等，作为本合同附件，合同附件与合同具有同等的法律效力。</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21.21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21.22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21.23由于</w:t>
      </w:r>
      <w:r>
        <w:rPr>
          <w:rFonts w:hint="eastAsia"/>
          <w:color w:val="auto"/>
          <w:szCs w:val="21"/>
          <w:highlight w:val="none"/>
          <w:lang w:val="en-US" w:eastAsia="zh-CN"/>
        </w:rPr>
        <w:t xml:space="preserve">施工</w:t>
      </w:r>
      <w:r>
        <w:rPr>
          <w:rFonts w:hint="eastAsia"/>
          <w:color w:val="auto"/>
          <w:szCs w:val="21"/>
          <w:highlight w:val="none"/>
          <w:lang w:eastAsia="zh-CN"/>
        </w:rPr>
        <w:t xml:space="preserve">所产生的震动不得影响周围建筑物的安全，不得破坏有关单位精密仪器设备的正常精度以及居民的身体健康。由于施工震动引起的任何民事纠纷由承包人负责解决。如震动超过极限值时，</w:t>
      </w:r>
      <w:r>
        <w:rPr>
          <w:rFonts w:hint="eastAsia"/>
          <w:color w:val="auto"/>
          <w:szCs w:val="21"/>
          <w:highlight w:val="none"/>
          <w:lang w:val="en-US" w:eastAsia="zh-CN"/>
        </w:rPr>
        <w:t xml:space="preserve">发包人</w:t>
      </w:r>
      <w:r>
        <w:rPr>
          <w:rFonts w:hint="eastAsia"/>
          <w:color w:val="auto"/>
          <w:szCs w:val="21"/>
          <w:highlight w:val="none"/>
          <w:lang w:eastAsia="zh-CN"/>
        </w:rPr>
        <w:t xml:space="preserve">可批示承包人改变其施工方法，使其符合有关规定。</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21.24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21.25无论任何时期，发包人有权在本合同所属工程范围内根据整个项目的实际施工进度，将工程分阶段开工与竣工。承包人已被视为在报价中考虑此因素。</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21.26承包人应将施工中产生的多余土方及建筑垃圾清运出场，其外运堆放场地及运距由承包人事先勘察现场情况进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21.28在施工期间，承包人必须加强对其合约范围内的工作人员的管理，按时支付农民工工资，任何人员不得以任何理由与发包人发生任何冲突，或至工地现场、发包人驻地、政府及主管部门以及其他场所围攻、闹事、静坐等，每发生一次，承包人须向发包人支付违约金1万元，并在承包人工程结算款中直接扣除。产生重大负面影响的或导致被政府部门处罚的，承包人应承担对发包人造成的所有损失（包括但不限于因此而产生的罚款、为解决问题和消除影响而开支的费用），发包人同时可以采取暂扣工程款、更换项目经理等措施，直至将承包人清退出场。</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21.29本工程合同工期范围外不再计取赶工措施费用。包含其他专业工程的施工工期及顺延工期，均不计取赶工措施费。</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21.30凡是非设计变更以及发包人造成的施工条件变更原因，施工方案和施工措施的修改而造成增加的费用由承包人承担。</w:t>
      </w:r>
      <w:r>
        <w:rPr>
          <w:color w:val="auto"/>
          <w:highlight w:val="none"/>
        </w:rPr>
      </w:r>
    </w:p>
    <w:p>
      <w:pPr>
        <w:ind w:firstLine="420"/>
        <w:pageBreakBefore w:val="0"/>
        <w:spacing w:line="260" w:lineRule="exact"/>
        <w:rPr>
          <w:color w:val="auto"/>
          <w:szCs w:val="21"/>
          <w:highlight w:val="none"/>
        </w:rPr>
      </w:pPr>
      <w:r>
        <w:rPr>
          <w:rFonts w:hint="eastAsia"/>
          <w:color w:val="auto"/>
          <w:szCs w:val="21"/>
          <w:highlight w:val="none"/>
          <w:lang w:eastAsia="zh-CN"/>
        </w:rPr>
        <w:t xml:space="preserve">21.31双方就具体事宜达成的书面协议作为合同组成部分。</w:t>
      </w:r>
      <w:bookmarkEnd w:id="115"/>
      <w:r>
        <w:rPr>
          <w:color w:val="auto"/>
        </w:rPr>
      </w:r>
      <w:r>
        <w:rPr>
          <w:color w:val="auto"/>
          <w:highlight w:val="none"/>
        </w:rPr>
      </w:r>
    </w:p>
    <w:p>
      <w:pPr>
        <w:pStyle w:val="747"/>
        <w:pageBreakBefore w:val="0"/>
        <w:spacing w:line="260" w:lineRule="exact"/>
        <w:rPr>
          <w:color w:val="auto"/>
          <w:szCs w:val="21"/>
          <w:highlight w:val="none"/>
        </w:rPr>
      </w:pPr>
      <w:r>
        <w:rPr>
          <w:color w:val="auto"/>
          <w:szCs w:val="21"/>
          <w:highlight w:val="none"/>
          <w:lang w:eastAsia="zh-CN"/>
        </w:rPr>
      </w:r>
      <w:r>
        <w:rPr>
          <w:color w:val="auto"/>
          <w:highlight w:val="none"/>
        </w:rPr>
      </w:r>
    </w:p>
    <w:p>
      <w:pPr>
        <w:keepLines w:val="0"/>
        <w:keepNext w:val="0"/>
        <w:pageBreakBefore w:val="0"/>
        <w:spacing w:line="260" w:lineRule="exact"/>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附</w:t>
      </w:r>
      <w:bookmarkStart w:id="235" w:name="_Toc296346727"/>
      <w:r>
        <w:rPr>
          <w:color w:val="auto"/>
          <w:highlight w:val="none"/>
        </w:rPr>
      </w:r>
      <w:bookmarkStart w:id="236" w:name="_Toc296891266"/>
      <w:r>
        <w:rPr>
          <w:color w:val="auto"/>
          <w:highlight w:val="none"/>
        </w:rPr>
      </w:r>
      <w:bookmarkStart w:id="237" w:name="_Toc296503226"/>
      <w:r>
        <w:rPr>
          <w:color w:val="auto"/>
          <w:highlight w:val="none"/>
        </w:rPr>
      </w:r>
      <w:bookmarkStart w:id="238" w:name="_Toc296944565"/>
      <w:r>
        <w:rPr>
          <w:color w:val="auto"/>
          <w:highlight w:val="none"/>
        </w:rPr>
      </w:r>
      <w:bookmarkStart w:id="239" w:name="_Toc267261693"/>
      <w:r>
        <w:rPr>
          <w:color w:val="auto"/>
          <w:highlight w:val="none"/>
        </w:rPr>
      </w:r>
      <w:bookmarkStart w:id="240" w:name="_Toc296891054"/>
      <w:r>
        <w:rPr>
          <w:color w:val="auto"/>
          <w:highlight w:val="none"/>
        </w:rPr>
      </w:r>
      <w:bookmarkStart w:id="241" w:name="_Toc296347225"/>
      <w:r>
        <w:rPr>
          <w:rFonts w:hint="eastAsia" w:ascii="宋体" w:hAnsi="宋体" w:eastAsia="宋体" w:cs="宋体"/>
          <w:b/>
          <w:color w:val="auto"/>
          <w:szCs w:val="21"/>
          <w:highlight w:val="none"/>
          <w:lang w:eastAsia="zh-CN"/>
        </w:rPr>
        <w:t xml:space="preserve">件1：</w:t>
      </w:r>
      <w:bookmarkEnd w:id="235"/>
      <w:r>
        <w:rPr>
          <w:color w:val="auto"/>
          <w:highlight w:val="none"/>
        </w:rPr>
      </w:r>
      <w:bookmarkEnd w:id="236"/>
      <w:r>
        <w:rPr>
          <w:color w:val="auto"/>
          <w:highlight w:val="none"/>
        </w:rPr>
      </w:r>
      <w:bookmarkEnd w:id="237"/>
      <w:r>
        <w:rPr>
          <w:color w:val="auto"/>
          <w:highlight w:val="none"/>
        </w:rPr>
      </w:r>
      <w:bookmarkEnd w:id="238"/>
      <w:r>
        <w:rPr>
          <w:color w:val="auto"/>
          <w:highlight w:val="none"/>
        </w:rPr>
      </w:r>
      <w:bookmarkEnd w:id="239"/>
      <w:r>
        <w:rPr>
          <w:color w:val="auto"/>
          <w:highlight w:val="none"/>
        </w:rPr>
      </w:r>
      <w:bookmarkEnd w:id="240"/>
      <w:r>
        <w:rPr>
          <w:color w:val="auto"/>
          <w:highlight w:val="none"/>
        </w:rPr>
      </w:r>
      <w:bookmarkEnd w:id="241"/>
      <w:r>
        <w:rPr>
          <w:color w:val="auto"/>
          <w:highlight w:val="none"/>
        </w:rPr>
      </w:r>
      <w:r>
        <w:rPr>
          <w:color w:val="auto"/>
          <w:highlight w:val="none"/>
        </w:rPr>
      </w:r>
    </w:p>
    <w:p>
      <w:pPr>
        <w:jc w:val="center"/>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工程质量保修书</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发包人（全称）：</w:t>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　　承包人（全称）：</w:t>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left="3150" w:hanging="315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　　发包人和承包人根据《中华人民共和国建筑法》和《建设工程质量管理条例》，经协商一致就</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（工程全称）签订工程质量保修书。</w:t>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outlineLvl w:val="0"/>
      </w:pPr>
      <w:r>
        <w:rPr>
          <w:color w:val="auto"/>
          <w:highlight w:val="none"/>
        </w:rPr>
      </w:r>
      <w:bookmarkStart w:id="242" w:name="_Toc18255"/>
      <w:r>
        <w:rPr>
          <w:color w:val="auto"/>
          <w:highlight w:val="none"/>
        </w:rPr>
      </w:r>
      <w:bookmarkStart w:id="243" w:name="_Toc11905"/>
      <w:r>
        <w:rPr>
          <w:rFonts w:hint="eastAsia" w:ascii="宋体" w:hAnsi="宋体" w:eastAsia="宋体" w:cs="宋体"/>
          <w:color w:val="auto"/>
          <w:szCs w:val="21"/>
          <w:highlight w:val="none"/>
          <w:lang w:eastAsia="zh-CN"/>
        </w:rPr>
        <w:t xml:space="preserve">一、工程质量保修范围和内容</w:t>
      </w:r>
      <w:bookmarkEnd w:id="242"/>
      <w:r>
        <w:rPr>
          <w:color w:val="auto"/>
          <w:highlight w:val="none"/>
        </w:rPr>
      </w:r>
      <w:bookmarkEnd w:id="243"/>
      <w:r>
        <w:rPr>
          <w:color w:val="auto"/>
          <w:highlight w:val="none"/>
        </w:rPr>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　　承包人在质量保修期内，按照有关法律规定和合同约定，承担工程质量保修责任。</w:t>
      </w:r>
      <w:r>
        <w:rPr>
          <w:color w:val="auto"/>
          <w:highlight w:val="none"/>
        </w:rPr>
      </w:r>
    </w:p>
    <w:p>
      <w:pPr>
        <w:ind w:firstLine="421"/>
        <w:keepLines w:val="0"/>
        <w:keepNext w:val="0"/>
        <w:pageBreakBefore w:val="0"/>
        <w:spacing w:line="26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 xml:space="preserve">质量保修范围包括建筑基础工程、主体结构工程，给排水管道，以及双方约定的其他项目。具体保修的内容，双方约定如下：</w:t>
      </w:r>
      <w:r>
        <w:rPr>
          <w:rFonts w:hint="eastAsia" w:ascii="宋体" w:hAnsi="宋体" w:eastAsia="宋体" w:cs="宋体"/>
          <w:color w:val="auto"/>
          <w:szCs w:val="21"/>
          <w:highlight w:val="none"/>
          <w:u w:val="single"/>
          <w:lang w:eastAsia="zh-CN"/>
        </w:rPr>
        <w:t xml:space="preserve">承包人施工范围内的全部内容</w:t>
      </w:r>
      <w:r>
        <w:rPr>
          <w:color w:val="auto"/>
          <w:highlight w:val="none"/>
        </w:rPr>
      </w:r>
    </w:p>
    <w:p>
      <w:pPr>
        <w:ind w:firstLine="421"/>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二、质量保修期</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根据《建设工程质量管理条例》及有关规定，工程的质量保修期如下：</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1．地基基础工程和主体结构工程为设计文件规定的工程合理使用年限；</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2．屋面防水工程、有防水要求的卫生间、房间和外墙面的防渗为</w:t>
      </w:r>
      <w:r>
        <w:rPr>
          <w:rFonts w:hint="eastAsia" w:ascii="宋体" w:hAnsi="宋体" w:eastAsia="宋体" w:cs="宋体"/>
          <w:color w:val="auto"/>
          <w:szCs w:val="21"/>
          <w:highlight w:val="none"/>
          <w:u w:val="single"/>
          <w:lang w:eastAsia="zh-CN"/>
        </w:rPr>
        <w:t xml:space="preserve">  5   </w:t>
      </w:r>
      <w:r>
        <w:rPr>
          <w:rFonts w:hint="eastAsia" w:ascii="宋体" w:hAnsi="宋体" w:eastAsia="宋体" w:cs="宋体"/>
          <w:color w:val="auto"/>
          <w:szCs w:val="21"/>
          <w:highlight w:val="none"/>
          <w:lang w:eastAsia="zh-CN"/>
        </w:rPr>
        <w:t xml:space="preserve">年；</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3．装修工程为</w:t>
      </w:r>
      <w:r>
        <w:rPr>
          <w:rFonts w:hint="eastAsia" w:ascii="宋体" w:hAnsi="宋体" w:eastAsia="宋体" w:cs="宋体"/>
          <w:color w:val="auto"/>
          <w:szCs w:val="21"/>
          <w:highlight w:val="none"/>
          <w:u w:val="single"/>
          <w:lang w:eastAsia="zh-CN"/>
        </w:rPr>
        <w:t xml:space="preserve">     2    </w:t>
      </w:r>
      <w:r>
        <w:rPr>
          <w:rFonts w:hint="eastAsia" w:ascii="宋体" w:hAnsi="宋体" w:eastAsia="宋体" w:cs="宋体"/>
          <w:color w:val="auto"/>
          <w:szCs w:val="21"/>
          <w:highlight w:val="none"/>
          <w:lang w:eastAsia="zh-CN"/>
        </w:rPr>
        <w:t xml:space="preserve">年；</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4．电气管线、给排水管道、设备安装工程为</w:t>
      </w:r>
      <w:r>
        <w:rPr>
          <w:rFonts w:hint="eastAsia" w:ascii="宋体" w:hAnsi="宋体" w:eastAsia="宋体" w:cs="宋体"/>
          <w:color w:val="auto"/>
          <w:szCs w:val="21"/>
          <w:highlight w:val="none"/>
          <w:u w:val="single"/>
          <w:lang w:eastAsia="zh-CN"/>
        </w:rPr>
        <w:t xml:space="preserve">     2    </w:t>
      </w:r>
      <w:r>
        <w:rPr>
          <w:rFonts w:hint="eastAsia" w:ascii="宋体" w:hAnsi="宋体" w:eastAsia="宋体" w:cs="宋体"/>
          <w:color w:val="auto"/>
          <w:szCs w:val="21"/>
          <w:highlight w:val="none"/>
          <w:lang w:eastAsia="zh-CN"/>
        </w:rPr>
        <w:t xml:space="preserve">年；</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5．供热与供冷系统为</w:t>
      </w:r>
      <w:r>
        <w:rPr>
          <w:rFonts w:hint="eastAsia" w:ascii="宋体" w:hAnsi="宋体" w:eastAsia="宋体" w:cs="宋体"/>
          <w:color w:val="auto"/>
          <w:szCs w:val="21"/>
          <w:highlight w:val="none"/>
          <w:u w:val="single"/>
          <w:lang w:eastAsia="zh-CN"/>
        </w:rPr>
        <w:t xml:space="preserve">     2    </w:t>
      </w:r>
      <w:r>
        <w:rPr>
          <w:rFonts w:hint="eastAsia" w:ascii="宋体" w:hAnsi="宋体" w:eastAsia="宋体" w:cs="宋体"/>
          <w:color w:val="auto"/>
          <w:szCs w:val="21"/>
          <w:highlight w:val="none"/>
          <w:lang w:eastAsia="zh-CN"/>
        </w:rPr>
        <w:t xml:space="preserve">个采暖期、供冷期；</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6．住宅小区内的给排水设施、道路等配套工程为</w:t>
      </w:r>
      <w:r>
        <w:rPr>
          <w:rFonts w:hint="eastAsia" w:ascii="宋体" w:hAnsi="宋体" w:eastAsia="宋体" w:cs="宋体"/>
          <w:color w:val="auto"/>
          <w:szCs w:val="21"/>
          <w:highlight w:val="none"/>
          <w:u w:val="single"/>
          <w:lang w:eastAsia="zh-CN"/>
        </w:rPr>
        <w:t xml:space="preserve">    2     </w:t>
      </w:r>
      <w:r>
        <w:rPr>
          <w:rFonts w:hint="eastAsia" w:ascii="宋体" w:hAnsi="宋体" w:eastAsia="宋体" w:cs="宋体"/>
          <w:color w:val="auto"/>
          <w:szCs w:val="21"/>
          <w:highlight w:val="none"/>
          <w:lang w:eastAsia="zh-CN"/>
        </w:rPr>
        <w:t xml:space="preserve">年；</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7．其他项目保修期限约定如下：</w:t>
      </w:r>
      <w:r>
        <w:rPr>
          <w:rFonts w:hint="eastAsia" w:ascii="宋体" w:hAnsi="宋体" w:eastAsia="宋体" w:cs="宋体"/>
          <w:color w:val="auto"/>
          <w:szCs w:val="21"/>
          <w:highlight w:val="none"/>
          <w:u w:val="single"/>
          <w:lang w:eastAsia="zh-CN"/>
        </w:rPr>
        <w:t xml:space="preserve"> 所有项目保修期限不低于 2 年 </w:t>
      </w:r>
      <w:r>
        <w:rPr>
          <w:rFonts w:hint="eastAsia" w:ascii="宋体" w:hAnsi="宋体" w:eastAsia="宋体" w:cs="宋体"/>
          <w:color w:val="auto"/>
          <w:szCs w:val="21"/>
          <w:highlight w:val="none"/>
          <w:lang w:eastAsia="zh-CN"/>
        </w:rPr>
        <w:t xml:space="preserve">。</w:t>
      </w:r>
      <w:r>
        <w:rPr>
          <w:color w:val="auto"/>
          <w:highlight w:val="none"/>
        </w:rPr>
      </w:r>
    </w:p>
    <w:p>
      <w:pPr>
        <w:ind w:firstLine="405"/>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质量保修期自工程竣工验收合格之日起计算。</w:t>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三、缺陷责任期</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工程缺陷责任期为 </w:t>
      </w:r>
      <w:r>
        <w:rPr>
          <w:rFonts w:hint="eastAsia" w:ascii="宋体" w:hAnsi="宋体" w:eastAsia="宋体" w:cs="宋体"/>
          <w:b/>
          <w:bCs/>
          <w:color w:val="auto"/>
          <w:szCs w:val="21"/>
          <w:highlight w:val="none"/>
          <w:u w:val="single"/>
          <w:lang w:eastAsia="zh-CN"/>
        </w:rPr>
        <w:t xml:space="preserve">24 </w:t>
      </w:r>
      <w:r>
        <w:rPr>
          <w:rFonts w:hint="eastAsia" w:ascii="宋体" w:hAnsi="宋体" w:eastAsia="宋体" w:cs="宋体"/>
          <w:color w:val="auto"/>
          <w:szCs w:val="21"/>
          <w:highlight w:val="none"/>
          <w:lang w:eastAsia="zh-CN"/>
        </w:rPr>
        <w:t xml:space="preserve">个月，缺陷责任期自工程通过竣工验收之日起计算。单位工程先于全部工程进行验收，单位工程缺陷责任期自单位工程验收合格之日起算。</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缺陷责任期终止后，发包人应退还剩余的质量保证金。</w:t>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outlineLvl w:val="0"/>
      </w:pPr>
      <w:r>
        <w:rPr>
          <w:color w:val="auto"/>
          <w:highlight w:val="none"/>
        </w:rPr>
      </w:r>
      <w:bookmarkStart w:id="244" w:name="_Toc30707"/>
      <w:r>
        <w:rPr>
          <w:color w:val="auto"/>
          <w:highlight w:val="none"/>
        </w:rPr>
      </w:r>
      <w:bookmarkStart w:id="245" w:name="_Toc32052"/>
      <w:r>
        <w:rPr>
          <w:rFonts w:hint="eastAsia" w:ascii="宋体" w:hAnsi="宋体" w:eastAsia="宋体" w:cs="宋体"/>
          <w:color w:val="auto"/>
          <w:szCs w:val="21"/>
          <w:highlight w:val="none"/>
          <w:lang w:eastAsia="zh-CN"/>
        </w:rPr>
        <w:t xml:space="preserve">四、质量保修责任</w:t>
      </w:r>
      <w:bookmarkEnd w:id="244"/>
      <w:r>
        <w:rPr>
          <w:color w:val="auto"/>
          <w:highlight w:val="none"/>
        </w:rPr>
      </w:r>
      <w:bookmarkEnd w:id="245"/>
      <w:r>
        <w:rPr>
          <w:color w:val="auto"/>
          <w:highlight w:val="none"/>
        </w:rPr>
      </w:r>
      <w:r>
        <w:rPr>
          <w:color w:val="auto"/>
          <w:highlight w:val="none"/>
        </w:rPr>
      </w:r>
    </w:p>
    <w:p>
      <w:pPr>
        <w:ind w:left="105" w:firstLine="428"/>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1．属于保修范围、内容的项目，承包人应当在接到保修通知之日起24小时内派人保修。承包人不在约定期限内派人保修的，发包人可以委托他人修理，保修费用从质量保修金内扣除。</w:t>
      </w:r>
      <w:r>
        <w:rPr>
          <w:color w:val="auto"/>
          <w:highlight w:val="none"/>
        </w:rPr>
      </w:r>
    </w:p>
    <w:p>
      <w:pPr>
        <w:ind w:left="105" w:firstLine="428"/>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2．发生紧急事故需抢修的，承包人在接到事故通知后，应当立即到达事故现场抢修。非承包人施工质量引起的事故，抢修费用由发包人承担。</w:t>
      </w:r>
      <w:r>
        <w:rPr>
          <w:color w:val="auto"/>
          <w:highlight w:val="none"/>
        </w:rPr>
      </w:r>
    </w:p>
    <w:p>
      <w:pPr>
        <w:ind w:firstLine="56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3.在国家规定的工程合理使用期限内，承包人确保承包工程的质量。因承包人原因致使工程在合理使用期限内造成人身和财产损害的，承包人应承担损害赔偿责任。</w:t>
      </w:r>
      <w:r>
        <w:rPr>
          <w:color w:val="auto"/>
          <w:highlight w:val="none"/>
        </w:rPr>
      </w:r>
    </w:p>
    <w:p>
      <w:pPr>
        <w:ind w:left="105" w:firstLine="428"/>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auto"/>
          <w:highlight w:val="none"/>
        </w:rPr>
      </w:r>
    </w:p>
    <w:p>
      <w:pPr>
        <w:ind w:left="420" w:firstLine="105"/>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5．质量保修完成后，由发包人组织验收。</w:t>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outlineLvl w:val="0"/>
      </w:pPr>
      <w:r>
        <w:rPr>
          <w:color w:val="auto"/>
          <w:highlight w:val="none"/>
        </w:rPr>
      </w:r>
      <w:bookmarkStart w:id="246" w:name="_Toc14522"/>
      <w:r>
        <w:rPr>
          <w:color w:val="auto"/>
          <w:highlight w:val="none"/>
        </w:rPr>
      </w:r>
      <w:bookmarkStart w:id="247" w:name="_Toc23752"/>
      <w:r>
        <w:rPr>
          <w:rFonts w:hint="eastAsia" w:ascii="宋体" w:hAnsi="宋体" w:eastAsia="宋体" w:cs="宋体"/>
          <w:color w:val="auto"/>
          <w:szCs w:val="21"/>
          <w:highlight w:val="none"/>
          <w:lang w:eastAsia="zh-CN"/>
        </w:rPr>
        <w:t xml:space="preserve">五、保修费用</w:t>
      </w:r>
      <w:bookmarkEnd w:id="246"/>
      <w:r>
        <w:rPr>
          <w:color w:val="auto"/>
          <w:highlight w:val="none"/>
        </w:rPr>
      </w:r>
      <w:bookmarkEnd w:id="247"/>
      <w:r>
        <w:rPr>
          <w:color w:val="auto"/>
          <w:highlight w:val="none"/>
        </w:rPr>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　　保修费用由造成质量缺陷的责任方承担。</w:t>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eastAsia="zh-CN"/>
        </w:rPr>
        <w:t xml:space="preserve">六</w:t>
      </w:r>
      <w:r>
        <w:rPr>
          <w:rFonts w:hint="eastAsia" w:ascii="宋体" w:hAnsi="宋体" w:eastAsia="宋体" w:cs="宋体"/>
          <w:color w:val="auto"/>
          <w:szCs w:val="21"/>
          <w:highlight w:val="none"/>
          <w:lang w:eastAsia="zh-CN"/>
        </w:rPr>
        <w:t xml:space="preserve">、双方约定的其他工程质量保修事项：</w:t>
      </w:r>
      <w:r>
        <w:rPr>
          <w:rFonts w:hint="eastAsia" w:ascii="宋体" w:hAnsi="宋体" w:eastAsia="宋体" w:cs="宋体"/>
          <w:color w:val="auto"/>
          <w:szCs w:val="21"/>
          <w:highlight w:val="none"/>
          <w:u w:val="single"/>
          <w:lang w:eastAsia="zh-CN"/>
        </w:rPr>
        <w:t xml:space="preserve">按国家规定执行</w:t>
      </w:r>
      <w:r>
        <w:rPr>
          <w:rFonts w:hint="eastAsia" w:ascii="宋体" w:hAnsi="宋体" w:eastAsia="宋体" w:cs="宋体"/>
          <w:color w:val="auto"/>
          <w:szCs w:val="21"/>
          <w:highlight w:val="none"/>
          <w:lang w:eastAsia="zh-CN"/>
        </w:rPr>
        <w:t xml:space="preserve">。</w:t>
      </w:r>
      <w:r>
        <w:rPr>
          <w:color w:val="auto"/>
          <w:highlight w:val="none"/>
        </w:rPr>
      </w:r>
    </w:p>
    <w:p>
      <w:pPr>
        <w:ind w:firstLine="399"/>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工程质量保修书由发包人、承包人在工程竣工验收前共同签署，作为施工合同附件，其有效期限至保修期满。</w:t>
      </w:r>
      <w:r>
        <w:rPr>
          <w:color w:val="auto"/>
          <w:highlight w:val="none"/>
        </w:rPr>
      </w:r>
    </w:p>
    <w:p>
      <w:pPr>
        <w:ind w:firstLine="420"/>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 xml:space="preserve">发包人（公章）：                      承包人（公章）：</w:t>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地  址：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地  址：</w:t>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法定代表人（签字）：                  法定代表人（签字）：</w:t>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委托代理人（签字）：                  委托代理人（签字）：</w:t>
      </w:r>
      <w:r>
        <w:rPr>
          <w:color w:val="auto"/>
          <w:highlight w:val="none"/>
        </w:rPr>
      </w:r>
    </w:p>
    <w:p>
      <w:pPr>
        <w:keepLines w:val="0"/>
        <w:keepNext w:val="0"/>
        <w:pageBreakBefore w:val="0"/>
        <w:spacing w:line="26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电  话：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电  话：</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r>
      <w:r>
        <w:rPr>
          <w:color w:val="auto"/>
          <w:highlight w:val="none"/>
        </w:rPr>
      </w:r>
    </w:p>
    <w:p>
      <w:pPr>
        <w:ind w:right="150"/>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eastAsia="zh-CN"/>
        </w:rPr>
        <w:br w:type="page" w:clear="all"/>
      </w:r>
      <w:r>
        <w:rPr>
          <w:rFonts w:hint="eastAsia" w:ascii="宋体" w:hAnsi="宋体" w:eastAsia="宋体" w:cs="宋体"/>
          <w:b/>
          <w:color w:val="auto"/>
          <w:szCs w:val="21"/>
          <w:highlight w:val="none"/>
          <w:lang w:eastAsia="zh-CN"/>
        </w:rPr>
        <w:t xml:space="preserve">附件2：                       </w:t>
      </w:r>
      <w:r>
        <w:rPr>
          <w:color w:val="auto"/>
          <w:highlight w:val="none"/>
        </w:rPr>
      </w:r>
    </w:p>
    <w:p>
      <w:pPr>
        <w:ind w:right="150"/>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工程安全环境管理协议</w:t>
      </w:r>
      <w:r>
        <w:rPr>
          <w:color w:val="auto"/>
          <w:highlight w:val="none"/>
        </w:rPr>
      </w:r>
    </w:p>
    <w:p>
      <w:pPr>
        <w:ind w:firstLine="422"/>
        <w:keepLines w:val="0"/>
        <w:keepNext w:val="0"/>
        <w:pageBreakBefore w:val="0"/>
        <w:spacing w:line="240" w:lineRule="auto"/>
        <w:widowControl w:val="off"/>
        <w:rPr>
          <w:rFonts w:hint="eastAsia" w:ascii="宋体" w:hAnsi="宋体" w:eastAsia="宋体" w:cs="宋体"/>
          <w:bCs/>
          <w:color w:val="auto"/>
          <w:szCs w:val="21"/>
          <w:highlight w:val="none"/>
        </w:rPr>
      </w:pPr>
      <w:r>
        <w:rPr>
          <w:rFonts w:hint="eastAsia" w:ascii="宋体" w:hAnsi="宋体" w:eastAsia="宋体" w:cs="宋体"/>
          <w:b/>
          <w:color w:val="auto"/>
          <w:szCs w:val="21"/>
          <w:highlight w:val="none"/>
          <w:lang w:eastAsia="zh-CN"/>
        </w:rPr>
        <w:t xml:space="preserve">发包人：</w:t>
      </w:r>
      <w:r>
        <w:rPr>
          <w:color w:val="auto"/>
          <w:highlight w:val="none"/>
        </w:rPr>
      </w:r>
    </w:p>
    <w:p>
      <w:pPr>
        <w:ind w:firstLine="422"/>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承包人：</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 xml:space="preserve">工程项目名称：</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 安全文明施工管理目标</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1．1 杜绝重伤及以上事故；</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1．2 杜绝重大机械设备事故；</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1．3 杜绝重大火灾事故；</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1．4 杜绝负主要责任的重大交通事故；</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1．5 杜绝重复发生相同性质的事故；</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1．6 创建安全文明施工样板工程；</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1．7 杜绝重大设备损坏事故。</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 安全文明施工和环境管理执行标准：</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以下标准双方均应认真执行：</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2．1 《建设工程安全管理条例》；</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2．2 国家有关部、委、各级政府部门和上级主管部门颁发的有关安全生产和环境保护工作的法令、法规、规定、制度；  </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2．3 发包人有关安全文明施工及环境保护的规定、制度。</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 发包人的权利和义务：</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3．1 发包人按有关规定对承包人的资质进行审查，确认承包人承包的工程与其资质相符合；</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3．2 发包人在施工前负责审核承包人的施工组织设计；</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3．4 对承包人在施工中新增的施工人员，发包人有权按以上要求进行检查；</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3．5 施工前发包人有权对承包人的电动工器具、仪表等进行抽样检查；</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3．6 施工期间，发包人设专职安监人员负责联系、检查、督促承包人执行有关安全、防火规定，并协助检查和处理工程施工中有关的安全、防火工作、预防事故发生；</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3．8 发包人不得要求承包人违反安全管理规定进行施工。因发包人原因导致事故由发包人承担责任；</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3．9 由发包人提供的机械设备、安全设施，在安装完毕提交使用前，发包人应配合承包人共同按规定验收，并做好验收及交付使用的书面手续。</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 承包人的权利和义务：</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4．1 承包人需根据现场的实际开工情况，找出危险源，列出《风险源清单》，根据风险的大小，编制《施工现场工作风险评估》；</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4．3 承包人必须建立安全管理制度，各级安全生产岗位责任制和定期安全检查、安全教育制度，包括各工种的安全操作规程、特种作业人员的考核制度等；</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4．4 承包人在项目施工开始前要根据《施工组织设计》或《安全施工方案（措施）》向施工人员进行安全技术交底；</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4．7 承包人施工人员应经安规考试合格后上岗；</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4．8 承包人施工人员应对所在的施工区域、作业环境、操作设施设备、工器具等进行认真检查，发现隐患立即处理，落实整改措施；</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4．9承包人在施工期间由于施工机械、工器具原因或使用操作不当而造成伤亡事故，由承包人负责；</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4．10承包人对施工现场安全设施（如脚手架等）每天开工前必须检查，发现隐患及时整改；</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4．12 承包人必须按规定为作业人员配备应有的劳动保护用品、用具。承包人所属人员的身体健康状况必须能满足所从事工作的要求；</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 其他</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 承包人工程施工方案中必须包括安全、健康、环保等措施，并贯彻落实到具体工作中去，确保施工安全及当地环境不受工程施工破坏；</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7．2 施工过程中产生的废弃物、噪音等排放必须符合相关规定标准；</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7．3 由于承包人施工破坏周围环境，造成恶劣影响引发纠纷和社会矛盾等由承包人承担全部责任；</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7．4 承包人按月（年）向发包人报送企业职工伤亡事故月（年）报告；</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7．5 对发包人组织的安全环境大检查、安全工作会议，承包人应及时派员参加，认真贯彻落实；</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 本协议执行过程中如遇有与国家、交通部和地方政府的有关规定不一致时，按国家、交通部和地方政府的有关规定执行；</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9 本协议经甲乙双方签字、盖章后生效，作为工程合同的附件与合同具有同等的法律效力；</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10 甲乙双方必须严格执行本协议，因违反本协议而造成设备、伤亡事故，由违约方承担一切经济损失。</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      </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单位盖章：                         单位盖章：</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发包人安全第一责任人 ：           承包人安全第一责任人：</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                                               </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签订日期：</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br w:type="page" w:clear="all"/>
      </w:r>
      <w:r>
        <w:rPr>
          <w:rFonts w:hint="eastAsia" w:ascii="宋体" w:hAnsi="宋体" w:eastAsia="宋体" w:cs="宋体"/>
          <w:b/>
          <w:color w:val="auto"/>
          <w:szCs w:val="21"/>
          <w:highlight w:val="none"/>
          <w:lang w:eastAsia="zh-CN"/>
        </w:rPr>
        <w:t xml:space="preserve">附件3：                            </w:t>
      </w:r>
      <w:r>
        <w:rPr>
          <w:color w:val="auto"/>
          <w:highlight w:val="none"/>
        </w:rPr>
      </w:r>
    </w:p>
    <w:p>
      <w:pPr>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工程廉政合同</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Cs w:val="21"/>
          <w:highlight w:val="none"/>
          <w:u w:val="single"/>
          <w:lang w:eastAsia="zh-CN"/>
        </w:rPr>
        <w:t xml:space="preserve"> （全称）             </w:t>
      </w:r>
      <w:r>
        <w:rPr>
          <w:rFonts w:hint="eastAsia" w:ascii="宋体" w:hAnsi="宋体" w:eastAsia="宋体" w:cs="宋体"/>
          <w:color w:val="auto"/>
          <w:szCs w:val="21"/>
          <w:highlight w:val="none"/>
          <w:lang w:eastAsia="zh-CN"/>
        </w:rPr>
        <w:t xml:space="preserve">（以下简称“发包人”）与中标单位（全称）</w:t>
      </w:r>
      <w:r>
        <w:rPr>
          <w:rFonts w:hint="eastAsia" w:ascii="宋体" w:hAnsi="宋体" w:eastAsia="宋体" w:cs="宋体"/>
          <w:color w:val="auto"/>
          <w:szCs w:val="21"/>
          <w:highlight w:val="none"/>
          <w:u w:val="single"/>
          <w:lang w:eastAsia="zh-CN"/>
        </w:rPr>
        <w:t xml:space="preserve">    中标单位名称        </w:t>
      </w:r>
      <w:r>
        <w:rPr>
          <w:rFonts w:hint="eastAsia" w:ascii="宋体" w:hAnsi="宋体" w:eastAsia="宋体" w:cs="宋体"/>
          <w:color w:val="auto"/>
          <w:szCs w:val="21"/>
          <w:highlight w:val="none"/>
          <w:lang w:eastAsia="zh-CN"/>
        </w:rPr>
        <w:t xml:space="preserve">（以下简称“承包人”），特订立如下合同。</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1．甲乙双方的权利和义务</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（1）严格遵守党的政策规定和国家、省、市有关法律法规有关规定。</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（2）严格执行工程的合同文件，自觉按合同办事。</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（3）双方的业务活动坚持公开、公正、诚信、透明的原则（法律认定的商业秘密和合同文件另有规定除外），不得损害国家和集体利益，违反工程建设管理规章制度。</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（4）建立健全廉政制度，开展廉政教育，设计廉政告示牌，公布举报电话，监督并认真查处违法违纪行为。</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（5）发现对方在业务活动中有违反廉政规定的行为，有及时提醒对方纠正的权利和义务。</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（6）发现对方严重违反合同义务条款的行为，有向其上级有关部门举报、建议给予处理并要求告知处理结果的权利。</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2．发包人的义务</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（1）发包人及其工作人员不得索要或接受承包人的礼金、有价证券和贵重物品，不得在承包人报销任何应由发包人或发包人工作人员个人支付的费用等。</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（2）发包人工作人员不得参加承包人安排的超标准宴请和娱乐活动；不得接受承包人提供的通讯工具、交通工具和高档办公用品等。</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（3）发包人及其工作人员不得要求或者接受承包人为其住房装修、婚丧嫁娶活动、配偶子女的工作安排以及出国出境、旅游等提供方便等。</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（4）发包人工作人员及其配偶、子女不得从事与发包人工程有关的材料设备供应、工程分包、劳务等经济活动等。</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（5）发包人及其工作人员不得以任何理由向承包人推荐分包单位或推销材料，不得要求承包人购买合同规定以外的材料和设备。</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（6）发包人工作人员要秉公办事，不准营私舞弊，不准利用职权从事各种个人有偿中介活动和安排个人施工队伍。</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3．承包人义务</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（1）承包人不得以任何理由向发包人及其工作人员行贿或馈赠礼金、有价证券、贵重礼品。</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（2）承包人不得以任何名义为发包人及其工作人员报销应由发包人单位或个人支付的任何费用。</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（3）承包人不得以任何理由安排发包人工作人员参加超标准宴请及娱乐活动。</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（4）承包人不得为发包人单位和个人购置或提供通讯工具、交通工具和高档办公用品等。</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4．违约责任</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（1）发包人及其工作人员违反本合同第一、二条，按管理权限，依据有关规定给予党纪、政纪或组织处理；涉嫌犯罪的，移交司法机关追究刑事责任；给承包人单位造成经济损失的，应予以赔偿。</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6．本合同有效期为甲乙双方签署之日起至该工程项目竣工验收后止。</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7．本合同作为工程施工合同的附件，与工程施工合同具有同等的法律效力，经合同双方签署立即生效。</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8．本合同一式四份，由甲乙双方各执一份，送交甲乙双方的监督单位各一份。</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甲方：（单位全称）（盖章）                 乙方：（单位全称）（盖章）</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法定代表人：                              法定代表人：</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或其授权的代理人：（签字）                 或其授权的代理人：（签字）  </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日          期：                           日       期：   </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eastAsia="zh-CN"/>
        </w:rPr>
        <w:br w:type="page" w:clear="all"/>
      </w:r>
      <w:r>
        <w:rPr>
          <w:rFonts w:hint="eastAsia" w:ascii="宋体" w:hAnsi="宋体" w:eastAsia="宋体" w:cs="宋体"/>
          <w:b/>
          <w:color w:val="auto"/>
          <w:szCs w:val="21"/>
          <w:highlight w:val="none"/>
          <w:lang w:eastAsia="zh-CN"/>
        </w:rPr>
        <w:t xml:space="preserve">附件4：</w:t>
      </w:r>
      <w:r>
        <w:rPr>
          <w:color w:val="auto"/>
          <w:highlight w:val="none"/>
        </w:rPr>
      </w:r>
    </w:p>
    <w:p>
      <w:pPr>
        <w:ind w:left="1"/>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不拖欠农民工工资承诺书</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firstLine="561"/>
        <w:keepLines w:val="0"/>
        <w:keepNext w:val="0"/>
        <w:pageBreakBefore w:val="0"/>
        <w:spacing w:line="240"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color w:val="auto"/>
          <w:szCs w:val="21"/>
          <w:highlight w:val="none"/>
          <w:lang w:eastAsia="zh-CN"/>
        </w:rPr>
        <w:t xml:space="preserve">致：</w:t>
      </w:r>
      <w:r>
        <w:rPr>
          <w:rFonts w:hint="eastAsia" w:ascii="宋体" w:hAnsi="宋体" w:eastAsia="宋体" w:cs="宋体"/>
          <w:b/>
          <w:bCs/>
          <w:color w:val="auto"/>
          <w:szCs w:val="21"/>
          <w:highlight w:val="none"/>
          <w:u w:val="single"/>
          <w:lang w:eastAsia="zh-CN"/>
        </w:rPr>
        <w:t xml:space="preserve">（采购人名称） </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为保护农民工的合法权益，不拖欠农民工工资，本人（承包人法定代表人姓名）以（承包人全称）法定代表人的资格，郑重承诺： </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本单位中标承建</w:t>
      </w:r>
      <w:r>
        <w:rPr>
          <w:rFonts w:hint="eastAsia" w:ascii="宋体" w:hAnsi="宋体" w:cs="宋体"/>
          <w:b/>
          <w:bCs/>
          <w:color w:val="auto"/>
          <w:szCs w:val="21"/>
          <w:highlight w:val="none"/>
          <w:u w:val="single"/>
          <w:lang w:val="en-US" w:eastAsia="zh-CN"/>
        </w:rPr>
        <w:t xml:space="preserve">东院区用电增容项目改造施工（专门面向中小企业）</w:t>
      </w:r>
      <w:r>
        <w:rPr>
          <w:rFonts w:hint="eastAsia" w:ascii="宋体" w:hAnsi="宋体" w:eastAsia="宋体" w:cs="宋体"/>
          <w:color w:val="auto"/>
          <w:szCs w:val="21"/>
          <w:highlight w:val="none"/>
          <w:lang w:eastAsia="zh-CN"/>
        </w:rPr>
        <w:t xml:space="preserve">需要使用农民工时，将保证做到： </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1、按照《</w:t>
      </w:r>
      <w:r>
        <w:rPr>
          <w:rFonts w:hint="eastAsia" w:ascii="宋体" w:hAnsi="宋体" w:cs="宋体"/>
          <w:color w:val="auto"/>
          <w:szCs w:val="21"/>
          <w:highlight w:val="none"/>
          <w:lang w:eastAsia="zh-CN"/>
        </w:rPr>
        <w:t xml:space="preserve">中华人民共和国劳动法</w:t>
      </w:r>
      <w:r>
        <w:rPr>
          <w:rFonts w:hint="eastAsia" w:ascii="宋体" w:hAnsi="宋体" w:eastAsia="宋体" w:cs="宋体"/>
          <w:color w:val="auto"/>
          <w:szCs w:val="21"/>
          <w:highlight w:val="none"/>
          <w:lang w:eastAsia="zh-CN"/>
        </w:rPr>
        <w:t xml:space="preserve">》规定雇用和使用农民工，工资将直接发给农民工本人，严禁发放给“包工头”。 </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 </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3、严格遵守《保障农民工工资支付条例》，以及国家和地方关于农民工工资的其他有关规定。 </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4、如果发生违反规定拖欠或克扣农民工工资行为，造成农民工上访，本单位愿意无条件接受发包人采取的经济等处罚，同时愿意接受行政主管部门依照有关规定作出的其他处罚决定。 </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承包人（公章）： </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法定代表人（签字或盖章）： </w:t>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firstLine="561"/>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日 期： 年 月 日</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eastAsia="zh-CN"/>
        </w:rPr>
        <w:br w:type="page" w:clear="all"/>
      </w:r>
      <w:r>
        <w:rPr>
          <w:rFonts w:hint="eastAsia" w:ascii="宋体" w:hAnsi="宋体" w:eastAsia="宋体" w:cs="宋体"/>
          <w:b/>
          <w:color w:val="auto"/>
          <w:szCs w:val="21"/>
          <w:highlight w:val="none"/>
          <w:lang w:eastAsia="zh-CN"/>
        </w:rPr>
        <w:t xml:space="preserve">附件5：                    </w:t>
      </w:r>
      <w:r>
        <w:rPr>
          <w:color w:val="auto"/>
          <w:highlight w:val="none"/>
        </w:rPr>
      </w:r>
    </w:p>
    <w:p>
      <w:pPr>
        <w:jc w:val="cente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b/>
          <w:color w:val="auto"/>
          <w:szCs w:val="21"/>
          <w:highlight w:val="none"/>
          <w:lang w:eastAsia="zh-CN"/>
        </w:rPr>
        <w:t xml:space="preserve">中标人诚信承诺书</w:t>
      </w:r>
      <w:r>
        <w:rPr>
          <w:color w:val="auto"/>
          <w:highlight w:val="none"/>
        </w:rPr>
      </w:r>
    </w:p>
    <w:p>
      <w:pPr>
        <w:ind w:firstLine="105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 xml:space="preserve">我单位系公司作为</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建设单位）标段的中标人，我单位郑重承诺，我单位在该项目标段的投标工作中所出具的所有文件（如单位资质证书、建造师证书、单位及建造师业绩证明等）均是真实有效的，我单位对该中标标段派遣建造师</w:t>
      </w:r>
      <w:r>
        <w:rPr>
          <w:rFonts w:hint="eastAsia" w:ascii="宋体" w:hAnsi="宋体" w:eastAsia="宋体" w:cs="宋体"/>
          <w:b/>
          <w:bCs/>
          <w:color w:val="auto"/>
          <w:szCs w:val="21"/>
          <w:highlight w:val="none"/>
          <w:u w:val="single"/>
          <w:lang w:eastAsia="zh-CN"/>
        </w:rPr>
        <w:t xml:space="preserve">（项目负责人姓名）</w:t>
      </w:r>
      <w:r>
        <w:rPr>
          <w:rFonts w:hint="eastAsia" w:ascii="宋体" w:hAnsi="宋体" w:eastAsia="宋体" w:cs="宋体"/>
          <w:color w:val="auto"/>
          <w:szCs w:val="21"/>
          <w:highlight w:val="none"/>
          <w:lang w:eastAsia="zh-CN"/>
        </w:rPr>
        <w:t xml:space="preserve">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rPr>
          <w:color w:val="auto"/>
          <w:highlight w:val="none"/>
        </w:rPr>
      </w:r>
    </w:p>
    <w:p>
      <w:pPr>
        <w:ind w:left="220" w:hanging="21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left="220" w:hanging="21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ind w:left="220" w:hanging="210"/>
        <w:keepLines w:val="0"/>
        <w:keepNext w:val="0"/>
        <w:pageBreakBefore w:val="0"/>
        <w:spacing w:line="24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 xml:space="preserve">          建造师签字：</w:t>
      </w:r>
      <w:r>
        <w:rPr>
          <w:color w:val="auto"/>
          <w:highlight w:val="none"/>
        </w:rPr>
      </w:r>
    </w:p>
    <w:p>
      <w:pPr>
        <w:ind w:left="220" w:hanging="210"/>
        <w:keepLines w:val="0"/>
        <w:keepNext w:val="0"/>
        <w:pageBreakBefore w:val="0"/>
        <w:spacing w:line="24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r>
      <w:r>
        <w:rPr>
          <w:color w:val="auto"/>
          <w:highlight w:val="none"/>
        </w:rPr>
      </w:r>
    </w:p>
    <w:p>
      <w:pPr>
        <w:ind w:left="319" w:firstLine="735"/>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中标人法定代表人或委托代理人签字：</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                              公   章</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                        </w:t>
      </w:r>
      <w:r>
        <w:rPr>
          <w:rFonts w:hint="eastAsia" w:ascii="宋体" w:hAnsi="宋体" w:eastAsia="宋体" w:cs="宋体"/>
          <w:color w:val="auto"/>
          <w:szCs w:val="21"/>
          <w:highlight w:val="none"/>
          <w:lang w:val="en-US" w:eastAsia="zh-CN"/>
        </w:rPr>
        <w:t xml:space="preserve"> </w:t>
      </w:r>
      <w:r>
        <w:rPr>
          <w:color w:val="auto"/>
          <w:highlight w:val="none"/>
        </w:rPr>
      </w:r>
    </w:p>
    <w:p>
      <w:pPr>
        <w:ind w:firstLine="231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 年      月     日</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pStyle w:val="72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附件6：</w:t>
      </w:r>
      <w:r>
        <w:rPr>
          <w:color w:val="auto"/>
          <w:highlight w:val="none"/>
        </w:rPr>
      </w:r>
    </w:p>
    <w:p>
      <w:pPr>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安全生产文明施工管理协议</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发包人：</w:t>
      </w:r>
      <w:r>
        <w:rPr>
          <w:rFonts w:hint="eastAsia" w:ascii="宋体" w:hAnsi="宋体" w:eastAsia="宋体" w:cs="宋体"/>
          <w:color w:val="auto"/>
          <w:szCs w:val="21"/>
          <w:highlight w:val="none"/>
          <w:u w:val="single"/>
          <w:lang w:eastAsia="zh-CN"/>
        </w:rPr>
        <w:tab/>
      </w:r>
      <w:r>
        <w:rPr>
          <w:rFonts w:hint="eastAsia" w:ascii="宋体" w:hAnsi="宋体" w:eastAsia="宋体" w:cs="宋体"/>
          <w:color w:val="auto"/>
          <w:szCs w:val="21"/>
          <w:highlight w:val="none"/>
          <w:lang w:eastAsia="zh-CN"/>
        </w:rPr>
        <w:t xml:space="preserve">（以下简称“甲方”）</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u w:val="none"/>
        </w:rPr>
      </w:pPr>
      <w:r>
        <w:rPr>
          <w:rFonts w:hint="eastAsia" w:ascii="宋体" w:hAnsi="宋体" w:eastAsia="宋体" w:cs="宋体"/>
          <w:color w:val="auto"/>
          <w:szCs w:val="21"/>
          <w:highlight w:val="none"/>
          <w:lang w:eastAsia="zh-CN"/>
        </w:rPr>
        <w:t xml:space="preserve">承包人：</w:t>
      </w:r>
      <w:r>
        <w:rPr>
          <w:rFonts w:hint="eastAsia" w:ascii="宋体" w:hAnsi="宋体" w:eastAsia="宋体" w:cs="宋体"/>
          <w:color w:val="auto"/>
          <w:szCs w:val="21"/>
          <w:highlight w:val="none"/>
          <w:u w:val="single"/>
          <w:lang w:eastAsia="zh-CN"/>
        </w:rPr>
        <w:tab/>
      </w:r>
      <w:r>
        <w:rPr>
          <w:rFonts w:hint="eastAsia" w:ascii="宋体" w:hAnsi="宋体" w:eastAsia="宋体" w:cs="宋体"/>
          <w:color w:val="auto"/>
          <w:szCs w:val="21"/>
          <w:highlight w:val="none"/>
          <w:u w:val="none"/>
          <w:lang w:eastAsia="zh-CN"/>
        </w:rPr>
        <w:t xml:space="preserve">（以下简称“乙方”）</w:t>
      </w:r>
      <w:r>
        <w:rPr>
          <w:color w:val="auto"/>
          <w:highlight w:val="none"/>
        </w:rPr>
      </w:r>
    </w:p>
    <w:p>
      <w:pPr>
        <w:ind w:firstLine="525"/>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甲乙双方已于年月日签订了《</w:t>
      </w:r>
      <w:r>
        <w:rPr>
          <w:rFonts w:hint="eastAsia" w:ascii="宋体" w:hAnsi="宋体" w:cs="宋体"/>
          <w:b/>
          <w:bCs/>
          <w:color w:val="auto"/>
          <w:szCs w:val="21"/>
          <w:highlight w:val="none"/>
          <w:u w:val="single"/>
          <w:lang w:val="en-US" w:eastAsia="zh-CN"/>
        </w:rPr>
        <w:t xml:space="preserve">东院区用电增容项目改造施工（专门面向中小企业）</w:t>
      </w:r>
      <w:r>
        <w:rPr>
          <w:rFonts w:hint="eastAsia" w:ascii="宋体" w:hAnsi="宋体" w:eastAsia="宋体" w:cs="宋体"/>
          <w:color w:val="auto"/>
          <w:szCs w:val="21"/>
          <w:highlight w:val="none"/>
          <w:lang w:eastAsia="zh-CN"/>
        </w:rPr>
        <w:t xml:space="preserve">》（以下称《施工合同》），合同编号：</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lang w:eastAsia="zh-CN"/>
        </w:rPr>
        <w:t xml:space="preserve">。现双方根据《中华人民共和国安全生产法》、《中华人民共和国建筑法》、《中华人民共和国民法典》、《建设工程安全生产管理条例》等有关法律法规和建设部、连云港市政府有关建筑施工安全生产、文明施工、环境保护、治安管理、消防管理的规定、规章，结合公司制定的相关规定，为严格明确工程项目现场甲乙双方的安全管理责任，保证工程施工期间的安全生产、文明施工、治安和消防安全。经甲乙双方平等协商，签订本协议，共同遵守本协议所列条款。</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第一条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工程概况</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1.1工程名称：</w:t>
      </w:r>
      <w:r>
        <w:rPr>
          <w:rFonts w:hint="eastAsia" w:ascii="宋体" w:hAnsi="宋体" w:cs="宋体"/>
          <w:b/>
          <w:bCs/>
          <w:color w:val="auto"/>
          <w:szCs w:val="21"/>
          <w:highlight w:val="none"/>
          <w:u w:val="single"/>
          <w:lang w:val="en-US" w:eastAsia="zh-CN"/>
        </w:rPr>
        <w:t xml:space="preserve">东院区用电增容项目改造施工（专门面向中小企业）</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第二条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适用法律</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适用国家和连云港市有关法律、行政法规和地方性法规，包括但不限于《中华人民共和国安全生产法》、《中华人民共和国建筑法》、《中华人民共和国消防法》、《建设工程安全生产管理条例》等有关安全生产、文明施工、环境保护、治安、消防管理的安全法律、法规、规章和技术规程，严格遵照建筑施工行业安全操作规程、规范和标准，保证建设工程安全生产，依法承担建设工程安全生产责任。国家及连云港市建设行政主管部门和其他有关主管部门制定的行政规章和规范性文件也适用于本协议。</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第三条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责任范围</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3.1乙方负责所承包项目施工作业区、料场、办公区、生活区、出入通道等与施工活动有关的全部区域的安全生产、文明施工、环境保护、治安、消防管理等工作，对承建施工项目的安全生产、文明施工工作负总责。</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3.2甲方负责监管乙方对项目区域管理范围内外共用道路、出入通道、施工区域及周界围挡的管理、协调，帮助乙方协调明确其与项目施工区域内其他施工单位安全生产、文明施工、环境保护、治安、消防安全管理的责任关系。</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第四条   安全防护、文明施工措施费</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4.1乙方因履行本协议而需发生的建设工程安全防护、文明施工措施费（包括但不限于施工安全防护、文明施工措施费、施工作业环境保护等，以下简称“安措费”）已包含在甲乙双方施工合同的价款内，甲方无须另行向乙方支付。乙方应当严格按照国家、连云港市政府相关管理规定及甲方的要求，进行施工安全防护用具及设施的采购和更新、拆除及安全措施的落实工作，并对安全生产条件达到法定标准和规定标准负责，否则由此造成的一切后果（包括法律后果）均由乙方自行承担。</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第五条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安全管理指标</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5.1乙方自进入施工区域后至工程经甲方、政府有关部门验收合格并人员、设备全部撤离项目施工区域且施工工程交付给甲方为止，乙方（包括甲方直接发包的分包单位）在本协议约定的责任范围内进行的安全生产、文明施工、环境保护、治安管理、消防管理等工作必须满足下列指标：</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A.重伤、死亡事故：0；</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B.火灾、机械倒塌事故：0；</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C.重大环境污染事故（向土地、水体、大气排放、倾倒或者处置有放射性的废物、含传染病病原体的废物、有毒物质或者其他危险废物，造成重大环境污染事故，导致公私财产遭受重大损失或者人身伤亡的严重后果，并因此受到政府有关部门处分、媒体曝光和社会不良反应）：0；</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D.社会媒体负面曝光事件：0；</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E.10人以上的群体性事件、刑事案件：0；</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5.2甲方可根据乙方完成前款安全管理文明施工里的指标的情况，按以下规定对乙方进行奖励或处罚。</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对乙方的安全管理违约惩罚依据甲方下发的《安全生产文明施工违约赔偿协议》。检查评分及评分标准适用甲方下发的《施工项目现场安全检查评分表》。在检查评分中得分高于90分的施工单位，在其履约考核中给予适当加分。</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5.3以上条款约定的违约赔偿金是对乙方在本项目整体安全管理工作的评价及索赔，与本协议第8.4款约定违约索赔的可并行适用，即甲方根据本协议第8.4款对乙方进行违约索赔后，仍可按第5.2款约定对乙方进行违约索赔，乙方对此无异议。</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第六条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甲方权利义务</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6.1甲方有权对乙方的资质进行审查，不将施工项目发包给不具备施工资质或施工资质与承包内容不相符的承包单位或个人。</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6.2甲方有权对乙方的安全生产保证体系的建立和运行、施工组织设计、危险性较大的分部分项工程的专项施工方案、安全教育培训、安全检查等施工过程安全管理及安全资料的形成、积累、组卷等工作进行监督检查，乙方应积极配合。</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6.3甲方委托有资质的工程监理机构全程进行监理，依法对乙方施工过程安全管理及安全资料等进行监督、检查，乙方必须予以积极配合。</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6.4甲方有权对乙方违反法律法规、行业性标准及双方约定的行为追究违约责任，要求乙方支付违约金，违约金额依据本协议、《安全生产文明施工违约赔偿协议》执行。</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6.5甲方应按法律规定向乙方提供施工现场及毗邻区域内各种地下管线资料、气象和水文观测资料，相邻建筑物和构筑物、地下工程的有关资料等各种资料。但乙方也已经考察过现场，对甲方提供的资料无异议，且在工程施工过程中，乙方应对施工可能造成损害的毗邻建筑物、构筑物和地下管线等采取专项防护措施，如乙方给施工现场及毗邻区域内相关地下管线、地下工程、相邻建筑物和构筑物等造成损坏和其他损失的，由乙方承担全部责任。</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6.6 甲方不得明示或者暗示乙方购买、租赁、使用不符合安全施工要求的安全防护用具、机械设备、施工机具及配件、消防设施和器材。</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第七条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乙方权利义务</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乙方应认真贯彻执行《中华人民共和国安全生产法》和有关安全生产的方针、政策和法规，遵守甲方的各项规章制度，必须严格按照国家、地方政府、监理和甲方对安全生产管理的有关规定组织施工，确保安全生产。</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7.2乙方承诺其符合且具备下列资质条件：</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7.2.1持有相关部门颁发的营业执照和资质证书，安全生产许可证必须真实有效，持有法定代表人身份证明书、授权委托书。相关负责人、工程技术人员、安全管理人员和特种作业人员等与投标时乙方公司承诺的人员配置一致，如施工期间更换相关负责人、工程技术人员、安全管理人员和特种作业人员应向甲方申报变更人员名单，且持证符合安全生产要求。</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7.2.2应有的安全管理机构、人员和制度齐全。包括各工种的安全操作规程、特种作业人员的审证考核制度、各级安全生产岗位责任制和定期安全检查、安全教育等制度。</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7.3乙方承接本工程项目后必须了解并执行甲方有关安全生产、文明施工、环境保护、治安、消防的管理规定，服从甲方管理。</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7.4乙方必须严格自身的安全生产、文明施工管理，向甲方出示“安全生产许可证”原件，并将“安全生产许可证”复印件加盖乙方公章报备甲方，乙方“安全生产许可证”如有任何变更，应在发生变更后三个工作日内及时书面通报甲方，并按前述约定再向甲方出示原件，相应的复印 件加盖公章后报备甲方。</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7.5 乙方必须严格按国家、连云港市政府相关管理规定及甲方的要求足额使用安措费，不得挪作他用。</w:t>
      </w:r>
      <w:r>
        <w:rPr>
          <w:rFonts w:hint="eastAsia" w:ascii="宋体" w:hAnsi="宋体" w:eastAsia="宋体" w:cs="宋体"/>
          <w:color w:val="auto"/>
          <w:szCs w:val="21"/>
          <w:highlight w:val="none"/>
          <w:lang w:eastAsia="zh-CN"/>
        </w:rPr>
        <w:t xml:space="preserve">乙方应按照甲方规定，编制安措费使用计划，并报备甲方。乙方未及时按国家及连云港市相关安全管理规定及双方约定落实安全措施（含现场文明施工管理），或采取安全措施（含现场文明施工管理）不符合国家、连云港市政府安全管理规定及甲方要求的，甲方有权要求乙方限期整改，若乙方未按期整改或拒不整改，甲方则依据《安全生产文明施工违约赔偿协议》、《安全生产费用管理办法》进行违约索赔。在此期间，因安全措施未及时落实或不符合相关规定及要求而导致发生任何安全事故，均由乙方负责，给甲方造成的损失超过违约索赔额度的部分，甲方有权向乙方追偿。</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7.6乙方应按国家及连云港市有关劳动方面的法律、法规、规范及时给施工人员发放工资；乙方拖延或克扣施工人员工资的，由乙方承担全部责任。甲乙双方施工合同中关于工程价款支付方式的约定不能作为乙方拖欠工人工资的理由。</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7.7国家及连云港市地政府明确规定的保险费用均由乙方办理并足额缴纳，以保障施工区域内人身、财产安全。</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7.8乙方必须根据项目施工特点及现场平面布置编制《安全生产事故应急预案》，建立事故应急救援组织机构，自行配备应急救援人员、必要的应急救援器材和设备，定期组织应急救援人员培训学习，并根据工程进展情况至少每年组织一次对应急救援人员的演练。并对应急器材和设备进行定期检查以保证其可靠性，以保证有效地应对突发的安全事故。</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7.9施工现场发生因工伤亡事故时，乙方应立即抢救受伤害者，保护事故现场，及时如实报政府主管部门和甲方，严格按照“四不放过”（事故原因未查清不放过；事故责任人未受到处理不放过；事故责任人和广大群众没有受到教育不放过；没有制定切实可行的整改预防措施不放过）的原则进行事故调查处理，并积极配合政府单位进行的事故调查处理工作，采取必要措施消除、降低事故造成的负面影响。</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7.10乙方在本工程项目范围内应做到：</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7.10.1建章立制，完善安全管理体系</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A.乙方项目的项目经理必须具备相应安全资格证书，在组建项目管理机构时，必须根据工程特点和规模，按照《建筑施工企业安全生产管理机构设置及专职安全生产管理人员配备办法》和连云港市建设工程施工现场安全生产管理规定建立安全管理组织机构、配备足额合格的专（兼）职安全管理人员，安全管理人员必须经培训后持证上岗。</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B.建立并认真落实安全生产责任制度。乙方作为工程总承包单位，对整个施工现场行使安全管理权，并对整个施工现场的安全管理承担责任。乙方应按国家法律要求制定并在本施工项目严格落实企业的安全生产责任制、安全生产规章制度和操作规程；应将安全目标分解到每个工作岗位，使安全生产责任制达到“横向到边，纵向到底”，全员全过程控制安全。</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7.10.2加强安全教育，酝酿安全文化氛围。</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A.进入施工现场的各类工作人员必须经过乙方公司、本工程乙方项目部、作业人员所在施工班组三级安全教育，内容应包括：强制性标准、操作规程和项目规章制度、事故案例，正确使用安全防护用具、机械设备等。未进行过三级安全教育的人员不得进入施工现场工作。未经教育培训或者教育培训考核不合格的人员，不得上岗作业。按时进行季节变换的安全教育，及时进行变换工作岗位人员的安全教育，细致进行节假日安全教育，高度重视国家及项目所在地重大政治活动期间的安全教育；每年安全教育时间必须达到国家“三高危”行业要求标准。</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B.施工过程中推广使用新技术、新材料、新工艺、新设备时，必须对有关管理人员和作业人员进行相关的安全技术教育培训，在经考核确认其完全掌握后方可全面使用。特殊工种作业人员按规定通过专业技术培训、考核取得操作证后，还必须接受安全技术培训，考试合格后方可上岗作业。</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C.安全教育考核应认真做好记录。</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7.10.3严格安全检查，认真落实整改。</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A.乙方必须健全并落实检查制度。乙方应实行逐级检查，乙方所属公司安全管理部门应至少每月对该项目检查一次；本工程乙方项目部至少每周一次，由项目经理组织项目技术、安全等专职管理人员，对施工现场进行安全生产专项检查，并对重要生产设施和重点作业部位加大巡检周期密度；项目经理部专职安全管理人员必须实行全日巡检制度，对于高危险性的作业应实行旁站监督。乙方还应根据施工期间季节气候变化，及时增加防洪、防风、防台、防冻、防煤气中毒等季节性安全检查，还应特别注意做好重大节假日前后的安全检查。</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B.检查组织者应对安全检查中发现的事故隐患签发安全隐患整改通知单，并监督落实整改方案和进行复查。查出的隐患必须按照“四定”（定整改人、定整改措施、定整改时间、定复查人）原则在规定期限内整改完毕。对检查发现的重大安全隐患有可能立即导致人员伤亡或财产损失时，安全检查人员要责令立即停工，待整改完成后报监理单位和甲方安全工程师联合验收合格后方可恢复施工。</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C.乙方应建立安全检查台账，将每次检查的情况、整改的情况详细记录在案，并按甲方的要求定期向甲方提供予以备案，乙方不得弄虚作假，否则经甲方查实的，由乙方承担违约责任。</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7.10.4加强总分包管理</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A.乙方与分包单位在签订分包合同时，应单独签订安全生产的专项协议或在分包合同中设置独立的条款，以明确安全生产目标的分解与落实、安全生产管理机构及专（兼）职安全员的配置、安全技术措施费用的落实、安全教育、特殊工种的管理、现场防护要求及事故处理等各方面双方的权利、责任与义务。</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B.乙方在与分包单位签订分包合同之前应确认该分包单位确实具备与其分包工程相符的施工资质等级和安全资质，并在项目所在地履行了登记注册等政府管理手续。确保进行现场施工的所有承包单位必须具有真实有效的“安全生产许可证”，并将该证件的复印件加盖所属公司公章报备监理单位和甲方。</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C.乙方所使用的劳务分包及专业分包单位，必须依照项目所在地外地人员务工管理规定、建设工程劳务管理规定，严格依法管理，及时为施工人员办理社会、工伤保险等保险，严禁使用手续不齐全的禁用人员和未经入场安全教育的劳务分包及专业分包单位人员进入施工现场作业。</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D.乙方分包单位在50人以下的，应当设置1名专职安全生产管理人员；50—200人的，应设2名专职安全生产管理人员；200人以上的，应根据所承担的分部分项工程施工危险实际情况增配，并不少于现场施工总人数的5‰。</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E.施工现场的安全生产应由乙方全面负责，各项安全生产工作均应纳入乙方的项目</w:t>
      </w:r>
      <w:r>
        <w:rPr>
          <w:rFonts w:hint="eastAsia" w:ascii="宋体" w:hAnsi="宋体" w:eastAsia="宋体" w:cs="宋体"/>
          <w:color w:val="auto"/>
          <w:szCs w:val="21"/>
          <w:highlight w:val="none"/>
          <w:lang w:eastAsia="zh-CN"/>
        </w:rPr>
        <w:t xml:space="preserve">管理体系中。甲方直接发包（与乙方无任何合约和经济关系的施工企业）的单位进入施工现场后，乙方单位也应将其纳入本项目安全管理体系，统一管理，对其负安全管理责任。乙方应与其签订安全管理协议，明确双方的责任，在发现其施工作业存在安全隐患时立即通知并督促其整改。如其未按期整改且未说明原因，乙方可通过与其签订的安全管理协议中项目安全奖罚规定对其进行违约索赔，单次违约索赔金额不得超过1000元，累计总额不得超过50000元，且奖罚实施前必须经甲方在索赔单上签字同意。如乙方与甲方、甲直分包签订三方协议，则执行三方协议规定。</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F.乙方负责查验和批准分包单位入场作业，并对分包单位工作人员开展安全教育培训，考试合格后允许其上岗作业。</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G.乙方应派专人负责监督分包单位对施工人员的工资发放。如国家或连云港市有其他规定按其规定执行。乙方必须保证甲方拨付工程款优先下发施工人员（包括总包、分包单位员工）工资。</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7.10.5加强安全技术管理，提供技术支持</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A.乙方应根据工程项目的规模和特点，在施工组织设计或施工方案中制定针对性强、权责清晰、实施有效的安全技术方案（措施）。安全技术方案（措施）应有设计、有计算、有详图、有文字说明，必须遵守国家和项目所在地有关安全生产的法律、法规和行业有关安全生产的规范、规程；必须全面考虑施工现场的实际情况、工程特点和作业环境；凡施工过程中可能发生的危险因素及建筑物周围外部环境不利因素等，都必须从技术上制定全面、具体、有效的措施予以预防，并应严格执行审批制度。</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B.基坑支护与降水工程、土方开挖工程、模板工程及支撑体系、起重吊装及安装拆卸工程、拆除、爆破工程等危险性较大的分部分项工程须在施工前编制专项安全技术方案。未编制安全技术方案，或安全技术方案未经本单位技术负责人及监理单位总监审核批准前，不得施工。</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深基坑工程、模板工程及支撑体系、起重吊装及安装拆卸工程、拆除及爆破工程等超过一定规模的危险性较大工程的专项方案必须按国家和连云港市政府相关要求，经专家论证通过后方可实施。</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C.施工现场须编制安全防护专项方案，方案覆盖内容包含：防护，高处作业、大模板存放、交叉作业防护，伸缩缝及后浇带防护，塔吊覆盖范围内固定作业场所防护等，并严格履行审批手续。安全防护设施在使用前应组织验收，合格后方可投入使用。安全防护设施未经许可严禁随意拆除。</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D.施工现场临时用电必须编制临时用电施工组织设计，设计应符合《施工现场临时用电安全技术规范》（JGJ46-2005）要求且可操作性强，并严格履行审批手续。施工现场临时用电必须实行三相五线、三级配电、二级保护制度，施工机具用电必须使用合格开关箱，并遵循“一机一闸一箱一漏”的原则。施工现场临时用电设施必须经验收后方可投入使用。</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施工用电的敷设必须严格按照临时用电施工组织设计进行，严禁私拉乱扯。临时用电施工组织设计变更后，应重新履行审批手续。</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临时用电设备设施必须符合国家相关要求，禁止采用不合格产品或施工现场禁用产品。乙方应将现场电气产品的合格证、厂家经营许可证复印件等资料经查验无误后存档，并保证根据甲方的要求向甲方提供。</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E.如有需要，乙方应组织专业施工技术人员编制起重机等大型机械设备作业专项施工方案，并严格履行审批手续。机械设备在使用前必须进行验收，合格后方可使用。施工现场机械设备应按照施工平面布置图规划设置。</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乙方要建立和落实各种施工机械设备、机具的专人管理制度和定期保养维修制度，严格按照标准、规范定期进行检查、维修和保养，检修施工机械设备、机具的同时必须检验防护装置，并建立相应的资料档案。</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F.乙方应建立并执行分部分项安全技术交底制度。安全技术交底应根据有关制度规程结合施工生产中的实际情况，针对作业人员的现状，全面细致地对全体作业人员进行安全技术交底，并实行跟踪管理，确保安全技术交底的贯彻实施，并做好交底签字记录。</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G.乙方必须建立工程项目安全管理内业资料档案。安全管理资料应满足连云港市建设工程安全资料规程要求。安全管理内业资料由项目经理部专职安全管理人员负责。乙方分包单位亦必须按规定建立安全管理内业资料档案，并由乙方统一收集。安全管理内业资料的收集整理应全面、及时、准确。</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H.甲方参与验收、方案审核等行为不视为免除乙方作为专业施工单位的责任。</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7.10.6加强现场文明施工管理</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A.桥梁工程施工现场应实行封闭式管理，主入口处设置牢固、美观的施工大门。</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B.固定式配电箱应搭设双层防护棚，双层防护之间用竹胶板封闭并刷红白相间油漆；配电箱防护栏杆刷红白相间油漆。</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C.施工现场各种物料应按照施工平面图统一布置，分类码放整齐；物料存放场地应平整、夯实，有排水措施。</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D.现场办公区应单独设置或与施工区设置明显隔离；办公区临建房屋外观设置应以蓝、白色为主；办公临建房屋的围护结构应采用燃烧性能为不燃的材料；办公区域设置应整齐、美观、洁净并适当采取绿化措施。</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7.10.7加强治安管理，杜绝刑事案件</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A.确定治安保卫负责人，并根据工程规模按规定建立施工现场治安保卫组织和配备人员，具体承担施工现场治安保卫工作。治安保卫工作组织人员名单在开工前报甲方备案。</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B.乙方编制工程施工组织设计或施工方案，必须包括相应的治安保卫方案或措施，并报甲方备案。</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C.应当按规定采取围挡等安全防护措施，建立门卫制度。施工人员凭胸卡进出施工现场，门卫人员必须坚守岗位，认真查验做好登记记录。</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D.料场、库房应当加强巡逻守护，重要材料、设备，要专库专管。贵重物品、保密图纸资料以及精密小型工具的保管和使用，须有安全保卫措施，健全存放、保管、领用、回收登记制度。</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E.职工生活区内严禁赌博、酗酒。非经批准，不得允许他人留宿，不得使用不符合安全要求的电器和取暖用具。</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F.施工现场的要害部位，包括为施工服务的热源、输变电室、各类泵房、大中型机械设备等，建设工程的关键部位和施工关键工序，应当制定并认真执行安全保卫措施，安装防护设施或报警装置。</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G.建设工程成品，包括即将竣工的道路、桥梁、绿化设施、海堤工程，安装就位的重要设施、设备、贵重装饰陈设等，必须制定专项保卫措施，组织保卫力量，加强巡逻看护。重点保卫区域可按工程项目类型制发证件，专人看守，严格验证，严防盗窃、破坏和治安灾害事故的发生。</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H.施工现场发生刑事案件、治安案件和灾害事故，乙方治安保卫组织必须立即保护现场，救助受伤害者，及时向上级主管部门的治安保卫组织和公安机关报告，同时报告甲方治安保卫工作负责人。</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I.按照有关规定或甲方要求，乙方应完成的其他工作。</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7.10.8加强消防管理，杜绝火灾事故</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A.乙方应确定一名防火负责人，负责施工现场的消防安全工作。施工现场应根据工程规模按规定配备消防安全员和义务消防队。消防安全员和义务消防队在施工现场防火负责人领导下，负责日常消防检查工作。防火负责人和消防安全员的确定和更换，应报甲方备案。</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B.在开工前完成将施工组织设计、施工现场防火安全措施和消防保卫方案（以下简称施工组织设计和方案），向消防监督机关报送审批或备案，同时报备甲方。</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C.建立防火档案，有计划开展防火检查，定期组织义务消防队的培训和演练。乙方应根据工程进展情况至少半年组织一次消防演练。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D.因施工或居住需要搭设的临时设施，应符合防火要求，不得使用易燃材料。</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E.建立并严格落实动火审批制度。电、气焊等明火作业前必须经项目防火负责人或保卫消防部门审批，办理动火证。作业人员必须按动火证限定的时间、地点、范围进行作业，动火作业点要有监管人，并增配消防器材，落实消防安全措施。动火证只在指定地点和限定的时间内有效。</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F.施工材料的存放、保管符合防火安全要求。对易燃、易爆及有毒物品的运输、存放等制定专门的管理办法，对押运、保管易燃、易爆及有毒物品的工作人员应进行专门培训并实行持证上岗制度。易燃、易爆、剧毒物品必须专库限量、分类储存，不得形成重大危险源，应设置明显标志，指定专人保管，制定严格的限量领用登记制度和余料回收制度。存放库房的耐火等级和防火要求应符合公安部制定的《仓库防火安全管理规则》。</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G.冬季施工使用电热器，须有乙方工程技术部门提供的安全使用技术资料，并经施工现场防火负责人同意。</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H.施工现场内及生活区存在的重大火险隐患，须立即整改。发生火灾，应积极组织扑救，险情控制后应保护好火灾现场。重大火险隐患整改情况和火灾事故报告，在报送消防监督机关的同时报备甲方。</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I.按照有关规定或甲方要求，乙方应完成的其他工作。</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7.10.9乙方必须随时接受行业主管部门、地方安全生产监督、环境监察、卫生监管、治安、消防管理部门检查人员依法实施的监督检查，配合他们执行公务，并做好接待工作。乙方还要随时接受甲方安全工程师和甲方上级单位组织的安全工作检查与监督。甲方在乙方寻求与行业主管部门、地方安全生产、文明施工管理监督、治安、消防管理监督部门建立工作联系时给予协助。</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7.10.10 乙方应对进入项目现场的人员进行安全生产、文明施工、治安、消防管理的教育，备存完整的安全教育记录、档案，并对因安全教育不到位引起的安全生产事故、人身健康损害、环境污染、治安事件、消防事故所造成的损失负责。</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7.10.11 乙方必须处理好与周围居民的关系，因噪音、粉尘、排污等扰民发生的罚款（包括对甲方施以的罚款）、赔偿、补偿等各种费用由乙方承担，甲方监督其落实。如果甲方代为乙方垫付相关前述费用的，甲方有权从应支付乙方的工程款中直接扣除或向乙方追偿。</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第八条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违约责任</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8.1 乙方应认真履行本协议约定的安全生产、文明施工、环境保护、治安、消防管理等工作内容。由于乙方的过错使本协议不能履行、不能完全履行、延迟履行或者履行不符合约定条件的，由乙方承担全部责任，并赔偿因此给甲方造成的全部损失。</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8.2 乙方对甲方在安全检查中指出的问题应按期整改，不得拖延。乙方未按期整改的，甲方有权自行或委托其他方进行整改，因此发生的一切费用由乙方承担，给甲方造成其他损失的，乙方应进行赔偿。乙方应在甲方要求的期限内支付上述整改费用和赔偿金。</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8.3 由于乙方管理措施不力导致发生安全生产事故、环境污染事故、治安灾害事故或消防事故而产生的责任和因此产生的费用由乙方承担。由于乙方管理措施不力导致发生安全生产事故、环境污染事故、治安灾害事故或消防事故给甲方造成损失，乙方必须承担全部赔偿责任。</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8.4 甲方有权对乙方及其人员因在安全管理中出现问题而根据实际情况作出“违约索赔”“停工整顿”“解除合同、勒令离场”或其他形式的处理，乙方应按甲方处理意见执行。</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8.4.1 乙方违反本协议任一项规定的，甲方有权按《安全生产文明施工违约赔偿协议》进行违约索赔；对《安全生产文明施工违约赔偿协议》中未约定的乙方违约行为，甲方有权视情节严重程度要求乙方支付人民币2000-100000元/次的违约金，甲方可在应支付乙方工程款中直接予以扣除。</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8.4.2乙方违反法律法规有关规定，甲方有权要求乙方除承担法律规定的责任外，给甲方造成损失的，应全部承担。</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8.4.3 上述违约金不足以偿付因乙方发生上述责任事故而给甲方造成的全部经济损失的，乙方应在甲方要求的期限内补足。</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8.4.4 乙方在接到由甲方签发的安全隐患整改通知书后，未能在整改通知书要求期限内完成整改的，甲方有权作出“停工整顿”处理，造成工期延误的，损失由乙方承担。</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8.4.5 乙方在“停工整顿”期间内，乙方不进行整顿或整顿后仍不符合要求的，甲方有权另行委托他方进场施工，因此发生的费用及造成的损失由乙方承担，并可作出“解除《施工合同》、勒令离场”（即甲方有权决定单方解除《施工合同》）的处理，且甲方有权要求乙方向其支付不超过《施工合同》总价款2%的违约金。甲方有权在应支付乙方工程款中直接予以扣除违约金及赔偿金，不足部分乙方应予赔偿。</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8.5 因乙方原因导致甲方向第三方承担任何形式的违约金、赔偿金或履行相应责任的，甲方在支付相应款项或履行相应责任后，可凭支付违约金、赔偿金或履行责任的证明直接向乙方追偿，而无须提供其他证据，乙方对此应予以认可。甲方有权直接在乙方工程款中扣除相应赔偿款。</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8.6 如乙方支付的上述违约金不足以弥补甲方损失的，甲方有权要求乙方进一步补偿。本协议所称损失应包括因乙方的违约行为所导致的甲方的实际损失（委托其他施工单位新增的费用、甲方向第三方支付的违约金、赔偿或补偿等款项）、可得利益损失，以及甲方为处理违约事件及主张权利所发生的包括调查、诉讼、律师等法律费用在内的费用和开支。</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8.7 本款适用于所有乙方应向甲方支付违约金情形。自甲方发出要求乙方支付违约金的书面通知之日起七个工作日内，乙方应按照本协议约定向甲方一次性付清违约金。逾期支付的，按照每日应付违约金的百分之二计算滞纳金，自逾期支付之日起至乙方向甲方实际付清之日止。若甲方尚有部分协议价款未支付乙方的，甲方有权从该笔费用中先行抵扣相当于违约金和滞纳金数额之款项。违约金和滞纳金不足以弥补甲方所遭受损失的，甲方有权继续向乙方追偿。</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8.8甲方违约的，仅赔偿乙方实际损失，不赔偿可得利益损失和其他损失。</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第九条 不弃权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本协议的任何条款或表述均不得被视为甲方对乙方权利的放弃，甲方未立即要求乙方承担违约责任不代表甲方免除或放弃追究乙方的违约责任，并不意味着免除或放弃追究乙方在其他方面或后续发生的违约责任。</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第十条 通知与送达</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10.1以本协议为目的或与之相关的任何通知均应以亲自递交或邮递或特快专递或传真发至文中列明的联系地址和/或联系方式，否则不发生效力。任何一方的联系地址或联系方式发生变更，则其应在发生变更情况之日起一日内以书面形式通知另一方，否则视为未变更。</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10.2 通知被视为送达的日期应按如下方法决定：</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A.专人递交的通知在专人递交之时视为有效送达；</w:t>
      </w:r>
      <w:r>
        <w:rPr>
          <w:color w:val="auto"/>
          <w:highlight w:val="none"/>
        </w:rPr>
      </w:r>
    </w:p>
    <w:p>
      <w:pPr>
        <w:ind w:left="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B.以（预付邮资）的挂号信件发出的通知，应在寄出日（以邮戳为准）后第七日视为有效送达；</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C.以快递发送的通知应于快递公司收寄后第三日视为有效送达；</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D.以图文传真发出的通知，在传送后当时视为有效送达。</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第十一  条不可抗力</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11.1不可抗力应以国家和甲方认可的项目所在地有关部门证明为准，不可抗力是指战争、水灾、台风，地震等人力不可抗拒的因素引起的延误和影响。</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11.2当甲方或乙方因不可抗力的影响不能履行协议的责任时，履行协议的时间将予以顺延，延长期与不可抗力影响期相同但协议价格不因此而改变。</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11.3不可抗力发生后，受影响方应立即将不可抗力发生的情况通知另一方，并在不可抗力发生后14日内出具事故发生地区的有关机构证明。上述情况发生后，双方应努力采取必要措施，密切配合减少不可抗力的影响。不可抗力的影响消除后应立即通知另一方。</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11.4甲、乙任何一方如确因不可抗力的原因，不能履行本协议时，应及时向对方通知不能履行或须延期履行、部分履行协议的理由。</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11.5本条款所定义的不可抗力是指不能预见，不能避免并不能克服的客观情况，乙方不得以市场环境变化、自身经营状况严重恶化及生产安排不周等情形，（无论严重程度如何）主张不可抗力。</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第十二条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修改</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对本协议的任何修改均须以书面形式进行，并经本协议双方授权的代表正式签字才能生效，本协议中未经修改的其他条款仍然有效。</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第十三条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可分割性</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本协议中所包含的任何条款在被认为无效或不具有强制执行力的情况下，该条款的无效性或不可执行性不得影响其他条款的效力。</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第十四条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适用法律及争议解决</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14.1本协议适用中华人民共和国相关法律法规。</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14.2国家和项目所在地有关法律法规没有明确规定或各种法律条文、解释之间不能完全统一造成双方理解出现异议时，根据双方协商，并以双方的书面意思表示为准。</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14.3双方因履行本协议（包括但不限于有关本协议的生效、解释、履行、修改和终止）有关的一切争议、纠纷或索赔均应当首先通过友好协商解决。如果协商不成的，任何一方有权向项目所在地人民法院提起诉讼。</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第十五条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生效及文本</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本协议经甲、乙双方签字并盖章后生效，至乙方工程经甲方、政府有关部门验收合格后，并乙方人员、设备全部撤离项目区，且将工程交付甲方后为止。本协议一式四份，甲方执二份、乙方执二份，具有同等法律效力。</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第十六条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补充条款</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（以下无正文）</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                                  乙方：</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（盖章）</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                              （盖章）</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法定代表人或委托代理人：</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             法定代表人或委托代理人：</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（签字）</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                                （签字）</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日期：</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日</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                     日期：</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日</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br w:type="page" w:clear="all"/>
      </w:r>
      <w:r>
        <w:rPr>
          <w:rFonts w:hint="eastAsia" w:ascii="宋体" w:hAnsi="宋体" w:eastAsia="宋体" w:cs="宋体"/>
          <w:b/>
          <w:color w:val="auto"/>
          <w:szCs w:val="21"/>
          <w:highlight w:val="none"/>
          <w:lang w:eastAsia="zh-CN"/>
        </w:rPr>
        <w:t xml:space="preserve">附件7：</w:t>
      </w:r>
      <w:r>
        <w:rPr>
          <w:color w:val="auto"/>
          <w:highlight w:val="none"/>
        </w:rPr>
      </w:r>
    </w:p>
    <w:p>
      <w:pPr>
        <w:ind w:firstLine="413"/>
        <w:jc w:val="cente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安全生产文明施工违约赔偿协议</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第一条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编制说明：</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为了加强甲方开发建设的位于《</w:t>
      </w:r>
      <w:r>
        <w:rPr>
          <w:rFonts w:hint="eastAsia" w:ascii="宋体" w:hAnsi="宋体" w:cs="宋体"/>
          <w:b/>
          <w:bCs/>
          <w:color w:val="auto"/>
          <w:szCs w:val="21"/>
          <w:highlight w:val="none"/>
          <w:u w:val="single"/>
          <w:lang w:val="en-US" w:eastAsia="zh-CN"/>
        </w:rPr>
        <w:t xml:space="preserve">东院区用电增容项目改造施工（专门面向中小企业）</w:t>
      </w:r>
      <w:r>
        <w:rPr>
          <w:rFonts w:hint="eastAsia" w:ascii="宋体" w:hAnsi="宋体" w:eastAsia="宋体" w:cs="宋体"/>
          <w:color w:val="auto"/>
          <w:szCs w:val="21"/>
          <w:highlight w:val="none"/>
          <w:lang w:eastAsia="zh-CN"/>
        </w:rPr>
        <w:t xml:space="preserve"> 》项目施工现场的安全生产管理，加大对违反《建筑工程安全生产管理条例》等法律法规的管理力度，切实保证现场施工安全和人身安全，有效督促施工总承包单位、分包单位等认真履行安全生产承诺，根据国家的安全生产法律法规和双方约定，签订本协议。</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第二条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编制依据：</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1、《中华人民共和国安全生产法》</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2、《中华人民共和国建筑法》</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3、《中华人民共和国消防法》</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4、《建设工程安全生产管理条例》</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5、双方签署的《安全生产管理协议》</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6、双方的其他约定以下统称为“安全生产法律法规和双方约定”。</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第三条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违约赔偿实施办法：</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甲方或监理根据对施工现场的检查结果，发出隐患整改通知书，对违反安全生产法律法规或双方约定的现象和事故隐患提出限期整改。甲方或监理在隐患整改期满后进行复查，如乙方拒不整改或整改不到位的，甲方或监理均可依据本协议对乙方作出违约索赔决定。</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如甲方或监理对施工现场检查时发现，乙方严重违反安全生产法律、法规或双方约定的，或存在较为严重的安全事故隐患时，甲方有权视情节，在发出整改通知的同时，作出违约索赔的决定；或不再重复发送整改通知，直接作出违约索赔的决定。</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3、甲方作出违约索赔决定，违约索赔款可以从应支付乙方的工程款中直接扣除。监理作出的违约索赔决定，经甲方签字后生效，违约索赔款可以从应支付给乙方工程款中直接扣除。</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4、本协议如与国家法律、法规或项目所在地相关规定冲突的，以法律、法规及规定为准。</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5、违约索赔情况和违约索赔额度包含但不限于本协议第四条所列条款。</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第四条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违约赔偿细则：</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经复查，发现乙方有下列情形之一的，乙方应按以下标准支付违约赔偿金（只约定赔偿额度范围未约定具体赔偿数额的，以甲方作出的违约索赔决定所确定金额为违约赔偿额，监理作出违约索赔决定的，以甲方安全工程师签字确认的赔偿额为准），甲方有权从应支付给乙方的工程款中直接扣除该部分款项：</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（一）安全管理方面：</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1、乙方公司未对承包项目组织月度安全检查或未能提供完整记录，每次违约赔偿2000元。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2、无故迟到或缺席甲方及监理组织的安全会议的，每人次违约赔偿200元。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3、乙方项目负责人、专职安全管理人员无证上岗的，每人次违约赔偿2000元。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4、乙方未按要求足额配备安全管理人员，每人次违约赔偿5000元。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5、未进行三级安全教育和应知应会教育，或教育记录不完整，每人次违约赔偿200元。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6、未按分部分项进行安全交底，并提供完整记录，每项违约赔偿1000元。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施工前未编制安全专项方案（包括但不限于：基坑支护与降水工程方案、土方开挖工程方案、模板工程及支撑体系方案、起重吊装及安装拆卸工程方案、安全防护方案、临时用电方案、拆除、爆破工程方案），每项违约赔偿3000元，方案在施工前未完成审批，每项违约赔偿1000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8、新建道路桥梁穿过原有道路的，未在交叉口处设置安全措施的，每处违约赔偿3000元。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9、起重机等大型机械设备未经验收投入使用，每台次违约赔偿3000元。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10、使用国家明令禁止使用的危及施工安全的工艺、设备、材料的，每项违约赔偿2000元。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11、安全防护用具、机械设备、施工机具及配件，在进入施工现场前，未经查验或者查验不合格即投入使用的，每项违约赔偿1000元。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12、现场电焊工、电工等特殊工种作业人员未持证上岗，每人次违约赔偿500元。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13、现场使用破损电箱，不合格电缆线、插座等电气设施，每处违约赔偿1000元；电线老化、绝缘破损或带电体裸露的，则每处违约赔偿500元。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14、现场电线电缆应采用埋地、架空敷设或穿管保护，严禁直接架设在钢筋、钢管或桥梁等附属设施上，违者每处违约赔偿500元。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15、施工和生活用电私拉乱接、未接保护零线、不规范电气连接或其他违章用电行为，每处违约赔偿500元。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16、现场用电设备防雷接地及重复接地未设置或设置不规范，每处违约赔偿500元。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17、保护零线与工作零线混接的，每处违约赔偿1000元。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18、漏电保护器缺失或失灵仍然使用的，每处、每次违约赔偿500元。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19、漏电保护器参数不合理或不匹配的每处每次违约赔偿500元。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20、每台用电设备应配备专用开关箱，实行“一机、一箱、一闸、一漏”制，严禁用一个开关电器直接控制二台及二台以上用电设备（含插座），违规使用每处违约赔偿500元。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21、现场使用的配电柜、配电箱、开关箱的电源隔离开关分断时应有明显可见分段点，违规每处违约赔偿200元。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22、开关箱必须装设隔离开关、断路器或熔断器及漏电保护器（当漏电保护器同时具有短路、过载、漏电保护功能的漏电断路器时，可不装设断路器或熔断器）。违规每处违约赔偿1000元。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23、分配电箱未按规定设置及维护，违约赔偿500元。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24、未按照国家有关规定在施工现场设置消防通道、消防水源、配备消防设施和消防器材的，每处违约赔偿1000元。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25、施工现场设置消防通道、消防水源、配备消防设施和消防器材，经甲方、监理单位检查不合格的，每处违约赔偿2000元。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26、未建立动火审批制度或未执行动火审批，以及作业人员未按动火证限定的时间、地点、范围进行作业，每处违约赔偿500元。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27、进入施工现场未戴安全帽，每人次违约赔偿100元。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28、高空作业未挂安全带，每人次违约赔偿500元。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29、施工现场穿拖鞋、裙子和赤膊施工，每人次违约赔偿200元。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30、施工现场（含生活区）酗酒滋事、赌博，每人次违约赔偿1000元。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31、施工作业人员，在施工作业期间吸烟的，每人次违约赔偿200元。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32、未按规定设置安全警示标牌，每处违约赔偿100元。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33、发生安全事故时要及时上报，并采取保护措施，故意隐瞒不报的，违约赔偿3000元。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34、特种作业时，作业现场必须有施工单位专职人员进行指挥，没有专职人员指挥的，每次违约赔偿2000元。</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（二）文明施工方面</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1、施工现场入口未设置大门或未按要求设置的，违约赔偿5000元。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2、施工现场入口处未设置或未按要求设置“五牌一图”的，违约赔偿1000元；施工现场未按平面布置图设置的，违约赔偿2000元。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3、施工现场未按要求设置围墙或围挡进行封闭管理，每处违约赔偿2000元。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4、施工现场的排水设施应当畅通，施工区域内不得有大面积积水，现场积水每处违约赔偿500元。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5、现场临边防护（基坑边、构筑物临边等临边）未设置防护设施，每处违约赔偿500元；防护设施未按要求设置的，每处违约赔偿200元。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6、施工现场钢筋加工区等加工区未设置防护棚的，每处违约赔偿2000元，设置不符要求的，每处违约赔偿1000元。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7、现场使用的水泥、石膏等易飞扬细颗粒散体材料未按要求封闭存放，未采取防雨、防潮措施。每处违约赔偿500元。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施工现场物料未按施工平面图统一布置、分类码放整齐或物料堆放场地未达到平整、夯实要求，未设置排水措施，每处违约赔偿500元；现场堆料高度超过1.5m或槽、坑、沟边及构筑物临边1m范围内堆放物料，每处违约赔偿300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9、现场办公区应单独设置或与施工区设置明显隔离，场地应硬化并采取必要绿化；临建房屋采用蓝白色彩钢板房，维护结构应采用燃烧性能为不燃的材料。设置不符要求每项违约赔偿3000元。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10、施工现场生活区应单独设置或与施工区有明显分割，场地应硬化，有排水措施，周边设围挡进行封闭；临建房屋应采用蓝白色彩钢板房，围护结构应采用燃烧性能为不燃的材料。设置不符要求的，每项违约赔偿3000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11、生活区宿舍设置通铺，每处违约赔偿200元。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12、生活区食堂须设置独立的制作间、库房，设有排风设施；食堂应及时办理卫生许可证、人员健康证、卫生知识培训证。未按要求设置的，每处违约赔偿1000元。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13、生活区未设置开水房或设置不符合要求的，违约赔偿300元。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14、生活区未设置淋浴间的，违约赔偿500元。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15、生活区厕所设置不符要求的，违约赔偿1000元。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16、不得在水泥路面上堆放砂浆和混凝土，应使用灰槽，违者每处违约赔偿300元。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17、从高空倾倒垃圾、杂物等，每次违约赔偿1000元。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18、乙方发生安全生产责任事故、治安灾害责任事故、消防责任事故或环境污染等事故，致使工程停工或甲方公司名称、项目名称在公众媒体或专业网站曝光，给甲方造成经济、名誉损失或不良社会影响，甲方有权对乙方做出10000-50000元及以上的违约索赔。</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19、发生群体性食物中毒事故，每中毒一人，违约赔偿500元。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20、未对因建设工程施工可能造成损害的毗邻建筑物、构筑物和地下管线等采取专项防护措施的，违约赔偿5000元。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21、发生重伤事故，每重伤一人，违约赔偿10000元。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22、发生火灾事故、起重机械倒塌事故、死亡事故的，每起违约赔偿5000-50000元。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23、甲方组织安全文明施工检查，文明施工管理得分80分以下，每次违约索赔5000元。</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24、对本协议中未列明的违规项，比照类似条款违约赔偿。</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25、乙方给予甲方赔偿后对甲方或监理提出的问题在规定期限内未完成整改的或拒绝整改的，甲方或监理可再次向乙方索赔，并可以加倍要求索赔额度。</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第五条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争议的解决及其他</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1、本协议履行过程中产生的争议，双方应协商解决，协商不成，任何一方均有权向建设工程项目所在地有管辖权的法院提起诉讼。</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2、本协议未尽事宜，双方协商后另行签订补充协议，补充协议与本协议具有同等法律效力。</w:t>
      </w:r>
      <w:r>
        <w:rPr>
          <w:color w:val="auto"/>
          <w:highlight w:val="none"/>
        </w:rPr>
      </w:r>
    </w:p>
    <w:p>
      <w:pPr>
        <w:ind w:firstLine="420"/>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3、本协议一式四份，甲方执二份、乙方执二份，与《安全生产管理协议》构成一个整体，具有同等法律效力。</w:t>
      </w:r>
      <w:r>
        <w:rPr>
          <w:color w:val="auto"/>
          <w:highlight w:val="none"/>
        </w:rPr>
      </w:r>
    </w:p>
    <w:p>
      <w:pPr>
        <w:keepLines w:val="0"/>
        <w:keepNext w:val="0"/>
        <w:pageBreakBefore w:val="0"/>
        <w:spacing w:line="24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第六条</w:t>
      </w:r>
      <w:r>
        <w:rPr>
          <w:rFonts w:hint="eastAsia" w:ascii="宋体" w:hAnsi="宋体" w:eastAsia="宋体" w:cs="宋体"/>
          <w:b/>
          <w:color w:val="auto"/>
          <w:szCs w:val="21"/>
          <w:highlight w:val="none"/>
          <w:lang w:eastAsia="zh-CN"/>
        </w:rPr>
        <w:tab/>
      </w:r>
      <w:r>
        <w:rPr>
          <w:rFonts w:hint="eastAsia" w:ascii="宋体" w:hAnsi="宋体" w:eastAsia="宋体" w:cs="宋体"/>
          <w:b/>
          <w:color w:val="auto"/>
          <w:szCs w:val="21"/>
          <w:highlight w:val="none"/>
          <w:lang w:eastAsia="zh-CN"/>
        </w:rPr>
        <w:t xml:space="preserve">补充条款</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甲方：                                   </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乙方：</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法定代表人（签章）：</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                   法定代表人（签章）：</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委托代理人（签章）：</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                   委托代理人（签章）：</w:t>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color w:val="auto"/>
          <w:highlight w:val="none"/>
        </w:rPr>
      </w:r>
    </w:p>
    <w:p>
      <w:pPr>
        <w:keepLines w:val="0"/>
        <w:keepNext w:val="0"/>
        <w:pageBreakBefore w:val="0"/>
        <w:spacing w:line="24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年</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日</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                               年</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eastAsia="zh-CN"/>
        </w:rPr>
        <w:t xml:space="preserve">月</w:t>
      </w:r>
      <w:r>
        <w:rPr>
          <w:rFonts w:hint="eastAsia" w:ascii="宋体" w:hAnsi="宋体" w:eastAsia="宋体" w:cs="宋体"/>
          <w:color w:val="auto"/>
          <w:szCs w:val="21"/>
          <w:highlight w:val="none"/>
          <w:lang w:eastAsia="zh-CN"/>
        </w:rPr>
        <w:tab/>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日</w:t>
      </w:r>
      <w:r>
        <w:rPr>
          <w:color w:val="auto"/>
          <w:highlight w:val="none"/>
        </w:rPr>
      </w:r>
    </w:p>
    <w:p>
      <w:pPr>
        <w:pStyle w:val="709"/>
        <w:jc w:val="center"/>
        <w:rPr>
          <w:rFonts w:hint="default"/>
          <w:b/>
          <w:bCs/>
          <w:color w:val="auto"/>
          <w:highlight w:val="none"/>
        </w:rPr>
      </w:pPr>
      <w:r>
        <w:rPr>
          <w:rFonts w:hint="eastAsia" w:ascii="宋体" w:hAnsi="宋体" w:eastAsia="宋体" w:cs="宋体"/>
          <w:bCs w:val="0"/>
          <w:color w:val="auto"/>
          <w:szCs w:val="24"/>
          <w:highlight w:val="none"/>
        </w:rPr>
        <w:br w:type="page" w:clear="all"/>
      </w:r>
      <w:bookmarkEnd w:id="96"/>
      <w:r>
        <w:rPr>
          <w:color w:val="auto"/>
          <w:highlight w:val="none"/>
        </w:rPr>
      </w:r>
      <w:bookmarkEnd w:id="97"/>
      <w:r>
        <w:rPr>
          <w:color w:val="auto"/>
          <w:highlight w:val="none"/>
        </w:rPr>
      </w:r>
      <w:bookmarkEnd w:id="98"/>
      <w:r>
        <w:rPr>
          <w:color w:val="auto"/>
          <w:highlight w:val="none"/>
        </w:rPr>
      </w:r>
      <w:bookmarkStart w:id="248" w:name="_Toc474"/>
      <w:r>
        <w:rPr>
          <w:color w:val="auto"/>
          <w:highlight w:val="none"/>
        </w:rPr>
      </w:r>
      <w:bookmarkStart w:id="249" w:name="_Toc26996"/>
      <w:r>
        <w:rPr>
          <w:color w:val="auto"/>
          <w:highlight w:val="none"/>
        </w:rPr>
      </w:r>
      <w:bookmarkStart w:id="250" w:name="_Toc465856615"/>
      <w:r>
        <w:rPr>
          <w:color w:val="auto"/>
          <w:highlight w:val="none"/>
        </w:rPr>
      </w:r>
      <w:bookmarkStart w:id="251" w:name="_Toc31702"/>
      <w:r>
        <w:rPr>
          <w:color w:val="auto"/>
          <w:highlight w:val="none"/>
        </w:rPr>
      </w:r>
      <w:bookmarkStart w:id="252" w:name="_Toc25773"/>
      <w:r>
        <w:rPr>
          <w:rFonts w:hint="eastAsia"/>
          <w:b/>
          <w:bCs/>
          <w:color w:val="auto"/>
          <w:highlight w:val="none"/>
          <w:lang w:eastAsia="zh-CN"/>
        </w:rPr>
        <w:t xml:space="preserve">第四章</w:t>
      </w:r>
      <w:r>
        <w:rPr>
          <w:rFonts w:hint="eastAsia"/>
          <w:b/>
          <w:bCs/>
          <w:color w:val="auto"/>
          <w:highlight w:val="none"/>
          <w:lang w:val="en-US" w:eastAsia="zh-CN"/>
        </w:rPr>
        <w:t xml:space="preserve"> </w:t>
      </w:r>
      <w:r>
        <w:rPr>
          <w:rFonts w:hint="eastAsia"/>
          <w:b/>
          <w:bCs/>
          <w:color w:val="auto"/>
          <w:highlight w:val="none"/>
          <w:lang w:eastAsia="zh-CN"/>
        </w:rPr>
        <w:t xml:space="preserve">技术标准和</w:t>
      </w:r>
      <w:bookmarkEnd w:id="248"/>
      <w:r>
        <w:rPr>
          <w:rFonts w:hint="eastAsia"/>
          <w:b/>
          <w:bCs/>
          <w:color w:val="auto"/>
          <w:highlight w:val="none"/>
          <w:lang w:val="en-US" w:eastAsia="zh-CN"/>
        </w:rPr>
        <w:t xml:space="preserve">项目需求</w:t>
      </w:r>
      <w:bookmarkEnd w:id="249"/>
      <w:r>
        <w:rPr>
          <w:color w:val="auto"/>
          <w:highlight w:val="none"/>
        </w:rPr>
      </w:r>
      <w:r>
        <w:rPr>
          <w:color w:val="auto"/>
          <w:highlight w:val="none"/>
        </w:rP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lang w:eastAsia="zh-CN"/>
        </w:rPr>
      </w:r>
      <w:r>
        <w:rPr>
          <w:color w:val="auto"/>
          <w:highlight w:val="none"/>
        </w:rP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lang w:val="en-US" w:eastAsia="zh-CN"/>
        </w:rPr>
        <w:t xml:space="preserve">说明：</w:t>
      </w:r>
      <w:r>
        <w:rPr>
          <w:color w:val="auto"/>
          <w:highlight w:val="none"/>
        </w:rPr>
      </w:r>
    </w:p>
    <w:p>
      <w:p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本项目采购方式为</w:t>
      </w:r>
      <w:r>
        <w:rPr>
          <w:rFonts w:hint="eastAsia" w:ascii="宋体" w:hAnsi="宋体" w:eastAsia="宋体" w:cs="宋体"/>
          <w:b/>
          <w:bCs/>
          <w:color w:val="auto"/>
          <w:sz w:val="24"/>
          <w:szCs w:val="24"/>
          <w:highlight w:val="none"/>
        </w:rPr>
        <w:t xml:space="preserve">竞争性磋商</w:t>
      </w:r>
      <w:r>
        <w:rPr>
          <w:rFonts w:hint="eastAsia" w:ascii="宋体" w:hAnsi="宋体" w:eastAsia="宋体" w:cs="宋体"/>
          <w:b w:val="0"/>
          <w:bCs w:val="0"/>
          <w:color w:val="auto"/>
          <w:sz w:val="24"/>
          <w:szCs w:val="24"/>
          <w:highlight w:val="none"/>
        </w:rPr>
        <w:t xml:space="preserve">，项目属性为</w:t>
      </w:r>
      <w:r>
        <w:rPr>
          <w:rFonts w:hint="eastAsia" w:ascii="宋体" w:hAnsi="宋体" w:eastAsia="宋体" w:cs="宋体"/>
          <w:b/>
          <w:bCs/>
          <w:color w:val="auto"/>
          <w:sz w:val="24"/>
          <w:szCs w:val="24"/>
          <w:highlight w:val="none"/>
        </w:rPr>
        <w:t xml:space="preserve">工程</w:t>
      </w:r>
      <w:r>
        <w:rPr>
          <w:rFonts w:hint="eastAsia" w:ascii="宋体" w:hAnsi="宋体" w:eastAsia="宋体" w:cs="宋体"/>
          <w:b w:val="0"/>
          <w:bCs w:val="0"/>
          <w:color w:val="auto"/>
          <w:sz w:val="24"/>
          <w:szCs w:val="24"/>
          <w:highlight w:val="none"/>
        </w:rPr>
        <w:t xml:space="preserve">。</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　建筑业　</w:t>
      </w:r>
      <w:r>
        <w:rPr>
          <w:rFonts w:hint="eastAsia" w:ascii="宋体" w:hAnsi="宋体" w:eastAsia="宋体" w:cs="宋体"/>
          <w:b w:val="0"/>
          <w:bCs w:val="0"/>
          <w:color w:val="auto"/>
          <w:sz w:val="24"/>
          <w:szCs w:val="24"/>
          <w:highlight w:val="none"/>
        </w:rPr>
        <w:t xml:space="preserve">。</w:t>
      </w:r>
      <w:r>
        <w:rPr>
          <w:color w:val="auto"/>
          <w:highlight w:val="none"/>
        </w:rPr>
      </w:r>
    </w:p>
    <w:p>
      <w:pPr>
        <w:numPr>
          <w:ilvl w:val="0"/>
          <w:numId w:val="0"/>
        </w:num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rPr>
        <w:t xml:space="preserve">技术标准和要求</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 xml:space="preserve">详见本工程施工图说明以及国家有关的工程建设标准强制性条文。</w:t>
      </w:r>
      <w:r>
        <w:rPr>
          <w:rFonts w:hint="eastAsia" w:ascii="宋体" w:hAnsi="宋体" w:eastAsia="宋体" w:cs="宋体"/>
          <w:b/>
          <w:color w:val="auto"/>
          <w:sz w:val="24"/>
          <w:szCs w:val="24"/>
          <w:highlight w:val="none"/>
        </w:rPr>
        <w:fldChar w:fldCharType="end"/>
      </w:r>
      <w:r>
        <w:rPr>
          <w:color w:val="auto"/>
          <w:highlight w:val="none"/>
        </w:rP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三、工程建设标准及技术规范</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（一）</w:t>
      </w:r>
      <w:r>
        <w:rPr>
          <w:rFonts w:hint="eastAsia" w:ascii="宋体" w:hAnsi="宋体" w:eastAsia="宋体" w:cs="宋体"/>
          <w:b w:val="0"/>
          <w:bCs w:val="0"/>
          <w:color w:val="auto"/>
          <w:sz w:val="24"/>
          <w:szCs w:val="24"/>
          <w:highlight w:val="none"/>
        </w:rPr>
        <w:t xml:space="preserve"> 本工程采用的计价规范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1、招标人提供的招标相关情况的说明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2、现行设计规范、规程和标准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3、《建设工程工程量清单计价规范》GB 50500-2013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4、《房屋建筑与装饰工程工程量计算规范》GB50854-2013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5、《通用安装工程工程量计算规范》GB50856-2013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6、《江苏省建设工程费用定额》</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2014 版</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营改增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7、《江苏省安装工程计价定额》</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2014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8、《江苏省建筑工程计价定额》（2014）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9、《江苏省市政工程计价定额》</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2014</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10、增值税执行苏建函价</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2019}178 号文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11、按质论价等取费标准执行江苏省住房和城乡建设厅</w:t>
      </w:r>
      <w:r>
        <w:rPr>
          <w:rFonts w:hint="eastAsia" w:ascii="宋体" w:hAnsi="宋体" w:cs="宋体"/>
          <w:b w:val="0"/>
          <w:bCs w:val="0"/>
          <w:color w:val="auto"/>
          <w:sz w:val="24"/>
          <w:szCs w:val="24"/>
          <w:highlight w:val="none"/>
          <w:lang w:eastAsia="zh-CN"/>
        </w:rPr>
        <w:t xml:space="preserve">〔2018〕</w:t>
      </w:r>
      <w:r>
        <w:rPr>
          <w:rFonts w:hint="eastAsia" w:ascii="宋体" w:hAnsi="宋体" w:eastAsia="宋体" w:cs="宋体"/>
          <w:b w:val="0"/>
          <w:bCs w:val="0"/>
          <w:color w:val="auto"/>
          <w:sz w:val="24"/>
          <w:szCs w:val="24"/>
          <w:highlight w:val="none"/>
        </w:rPr>
        <w:t xml:space="preserve">24 号文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12、连云港市 2024年最新建筑材料指导价</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、本工程采用的技术规范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1、采用国家现行相关的国家标准和行业标准。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2、采用行业标准的不得低于国家标准；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3、同类标准中若国家有新颁布实施的，按新标准执行。 </w:t>
      </w:r>
      <w:r>
        <w:rPr>
          <w:color w:val="auto"/>
          <w:highlight w:val="none"/>
        </w:rP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4、如没有国颁标准的，按相应的行业标准执行。</w:t>
      </w:r>
      <w:r>
        <w:rPr>
          <w:color w:val="auto"/>
          <w:highlight w:val="none"/>
        </w:rPr>
      </w:r>
    </w:p>
    <w:p>
      <w:pPr>
        <w:ind w:firstLine="482"/>
        <w:spacing w:line="40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商务条款</w:t>
      </w:r>
      <w:r>
        <w:rPr>
          <w:color w:val="auto"/>
          <w:highlight w:val="none"/>
        </w:rPr>
      </w:r>
    </w:p>
    <w:p>
      <w:pPr>
        <w:ind w:firstLine="480"/>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val="en-US" w:eastAsia="zh-CN"/>
        </w:rPr>
        <w:t xml:space="preserve">1</w:t>
      </w:r>
      <w:r>
        <w:rPr>
          <w:rFonts w:hint="eastAsia" w:ascii="宋体" w:hAnsi="宋体" w:eastAsia="宋体" w:cs="宋体"/>
          <w:i w:val="0"/>
          <w:iCs w:val="0"/>
          <w:color w:val="auto"/>
          <w:sz w:val="24"/>
          <w:szCs w:val="24"/>
          <w:highlight w:val="none"/>
          <w:u w:val="none"/>
          <w:lang w:eastAsia="zh-CN"/>
        </w:rPr>
        <w:t xml:space="preserve">.合同履行期限（工期）：</w:t>
      </w:r>
      <w:r>
        <w:rPr>
          <w:rFonts w:hint="eastAsia" w:ascii="宋体" w:hAnsi="宋体" w:cs="宋体"/>
          <w:b/>
          <w:bCs/>
          <w:color w:val="auto"/>
          <w:sz w:val="24"/>
          <w:szCs w:val="24"/>
          <w:highlight w:val="none"/>
          <w:lang w:val="en-US" w:eastAsia="zh-CN"/>
        </w:rPr>
        <w:t xml:space="preserve">40日历天</w:t>
      </w:r>
      <w:r>
        <w:rPr>
          <w:rFonts w:hint="eastAsia" w:ascii="宋体" w:hAnsi="宋体" w:cs="宋体"/>
          <w:i w:val="0"/>
          <w:iCs w:val="0"/>
          <w:color w:val="auto"/>
          <w:sz w:val="24"/>
          <w:szCs w:val="24"/>
          <w:highlight w:val="none"/>
          <w:u w:val="none"/>
          <w:lang w:eastAsia="zh-CN"/>
        </w:rPr>
        <w:t xml:space="preserve">。</w:t>
      </w:r>
      <w:r>
        <w:rPr>
          <w:rFonts w:hint="eastAsia" w:ascii="宋体" w:hAnsi="宋体" w:eastAsia="宋体" w:cs="宋体"/>
          <w:i w:val="0"/>
          <w:iCs w:val="0"/>
          <w:color w:val="auto"/>
          <w:sz w:val="24"/>
          <w:szCs w:val="24"/>
          <w:highlight w:val="none"/>
          <w:u w:val="none"/>
          <w:lang w:eastAsia="zh-CN"/>
        </w:rPr>
        <w:t xml:space="preserve"> </w:t>
      </w:r>
      <w:r>
        <w:rPr>
          <w:color w:val="auto"/>
          <w:highlight w:val="none"/>
        </w:rPr>
      </w:r>
    </w:p>
    <w:p>
      <w:pPr>
        <w:ind w:firstLine="482"/>
        <w:keepLines w:val="0"/>
        <w:keepNext w:val="0"/>
        <w:pageBreakBefore w:val="0"/>
        <w:spacing w:line="360" w:lineRule="auto"/>
        <w:widowControl w:val="off"/>
        <w:rPr>
          <w:rFonts w:hint="eastAsia" w:ascii="Segoe UI" w:hAnsi="Segoe UI" w:eastAsia="Segoe UI" w:cs="Segoe UI"/>
          <w:b/>
          <w:bCs/>
          <w:i w:val="0"/>
          <w:iCs w:val="0"/>
          <w:caps w:val="0"/>
          <w:color w:val="auto"/>
          <w:spacing w:val="0"/>
          <w:sz w:val="24"/>
          <w:szCs w:val="24"/>
          <w:highlight w:val="none"/>
          <w:shd w:val="clear" w:color="auto" w:fill="ffffff"/>
        </w:rPr>
      </w:pP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eastAsia="宋体" w:cs="宋体"/>
          <w:b/>
          <w:bCs/>
          <w:i w:val="0"/>
          <w:iCs w:val="0"/>
          <w:color w:val="auto"/>
          <w:sz w:val="24"/>
          <w:szCs w:val="24"/>
          <w:highlight w:val="none"/>
          <w:u w:val="none"/>
          <w:lang w:val="en-US" w:eastAsia="zh-CN"/>
        </w:rPr>
        <w:t xml:space="preserve">2</w:t>
      </w:r>
      <w:r>
        <w:rPr>
          <w:rFonts w:hint="eastAsia" w:ascii="宋体" w:hAnsi="宋体" w:eastAsia="宋体" w:cs="宋体"/>
          <w:b/>
          <w:bCs/>
          <w:i w:val="0"/>
          <w:iCs w:val="0"/>
          <w:color w:val="auto"/>
          <w:sz w:val="24"/>
          <w:szCs w:val="24"/>
          <w:highlight w:val="none"/>
          <w:u w:val="none"/>
          <w:lang w:eastAsia="zh-CN"/>
        </w:rPr>
        <w:t xml:space="preserve">.付款方式</w:t>
      </w:r>
      <w:r>
        <w:rPr>
          <w:rFonts w:hint="eastAsia" w:ascii="宋体" w:hAnsi="宋体" w:cs="宋体"/>
          <w:b/>
          <w:bCs/>
          <w:i w:val="0"/>
          <w:iCs w:val="0"/>
          <w:color w:val="auto"/>
          <w:sz w:val="24"/>
          <w:szCs w:val="24"/>
          <w:highlight w:val="none"/>
          <w:u w:val="none"/>
          <w:lang w:val="en-US" w:eastAsia="zh-CN"/>
        </w:rPr>
        <w:t xml:space="preserve">:</w:t>
      </w:r>
      <w:r>
        <w:rPr>
          <w:rFonts w:ascii="Segoe UI" w:hAnsi="Segoe UI" w:eastAsia="Segoe UI" w:cs="Segoe UI"/>
          <w:b/>
          <w:bCs/>
          <w:i w:val="0"/>
          <w:iCs w:val="0"/>
          <w:caps w:val="0"/>
          <w:color w:val="auto"/>
          <w:spacing w:val="0"/>
          <w:sz w:val="24"/>
          <w:szCs w:val="24"/>
          <w:highlight w:val="none"/>
          <w:shd w:val="clear" w:color="auto" w:fill="ffffff"/>
        </w:rPr>
        <w:t xml:space="preserve">本合同签订后，甲方向乙方支付合同价款</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1</w:t>
      </w:r>
      <w:r>
        <w:rPr>
          <w:rFonts w:ascii="Segoe UI" w:hAnsi="Segoe UI" w:eastAsia="Segoe UI" w:cs="Segoe UI"/>
          <w:b/>
          <w:bCs/>
          <w:i w:val="0"/>
          <w:iCs w:val="0"/>
          <w:caps w:val="0"/>
          <w:color w:val="auto"/>
          <w:spacing w:val="0"/>
          <w:sz w:val="24"/>
          <w:szCs w:val="24"/>
          <w:highlight w:val="none"/>
          <w:shd w:val="clear" w:color="auto" w:fill="ffffff"/>
        </w:rPr>
        <w:t xml:space="preserve">0%的预付款；工程完工并经甲方及相关供电部门验收合格后，付款至合同价款的85%；工程结算经审计完成后，付款至审定金额的97%；余款作为质量保证金，待质保期满且无质量问题后一次性无息付清。</w:t>
      </w:r>
      <w:r>
        <w:rPr>
          <w:rFonts w:hint="eastAsia" w:ascii="Segoe UI" w:hAnsi="Segoe UI" w:eastAsia="Segoe UI" w:cs="Segoe UI"/>
          <w:b/>
          <w:bCs/>
          <w:i w:val="0"/>
          <w:iCs w:val="0"/>
          <w:caps w:val="0"/>
          <w:color w:val="auto"/>
          <w:spacing w:val="0"/>
          <w:sz w:val="24"/>
          <w:szCs w:val="24"/>
          <w:highlight w:val="none"/>
          <w:shd w:val="clear" w:color="auto" w:fill="ffffff"/>
          <w:lang w:eastAsia="zh-CN"/>
        </w:rPr>
        <w:t xml:space="preserve">乙方应在每次付款前向甲方提供相应金额的正规发票。</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承包方式：包工包料；</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质量标准：工程质量达到国家及行业现行施工验收规范合格标准；同时保证工程质量通过供电部门的验收，确保符合供电条件及正式送电</w:t>
      </w:r>
      <w:r>
        <w:rPr>
          <w:rFonts w:hint="eastAsia" w:ascii="宋体" w:hAnsi="宋体" w:cs="宋体"/>
          <w:color w:val="auto"/>
          <w:sz w:val="24"/>
          <w:szCs w:val="24"/>
          <w:highlight w:val="none"/>
          <w:lang w:eastAsia="zh-CN"/>
        </w:rPr>
        <w:t xml:space="preserve">。</w:t>
      </w:r>
      <w:r>
        <w:rPr>
          <w:color w:val="auto"/>
          <w:highlight w:val="none"/>
        </w:rP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售后服务要求</w:t>
      </w:r>
      <w:r>
        <w:rPr>
          <w:color w:val="auto"/>
          <w:highlight w:val="none"/>
        </w:rP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cs="宋体"/>
          <w:b/>
          <w:bCs/>
          <w:color w:val="auto"/>
          <w:sz w:val="24"/>
          <w:szCs w:val="24"/>
          <w:highlight w:val="none"/>
          <w:lang w:val="en-US" w:eastAsia="zh-CN"/>
        </w:rPr>
        <w:t xml:space="preserve">5.1设备质保期:2年，以送电投入之日起计，免费质保期间，中标人免费提供设备故障维修、日常维护、系统升级、保养、安检、调换等；保修期间包含所有产生的人工、材料费等，对于采购方人为原因造成的故障，中标人只收取维保成本费用。</w:t>
      </w:r>
      <w:r>
        <w:rPr>
          <w:color w:val="auto"/>
          <w:highlight w:val="none"/>
        </w:rP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5.2中标人负责货物的供货、安装调试及验收合格。</w:t>
      </w:r>
      <w:r>
        <w:rPr>
          <w:color w:val="auto"/>
          <w:highlight w:val="none"/>
        </w:rP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5.3所有产品保修服务方式均为上门保修，即由中标人派相关资质人员到采购人产品使用现场维修。</w:t>
      </w:r>
      <w:r>
        <w:rPr>
          <w:color w:val="auto"/>
          <w:highlight w:val="none"/>
        </w:rP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rPr>
          <w:color w:val="auto"/>
          <w:highlight w:val="none"/>
        </w:rP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cs="宋体"/>
          <w:b/>
          <w:bCs/>
          <w:color w:val="auto"/>
          <w:sz w:val="24"/>
          <w:szCs w:val="24"/>
          <w:highlight w:val="none"/>
          <w:lang w:val="en-US" w:eastAsia="zh-CN"/>
        </w:rPr>
        <w:t xml:space="preserve">5.5投标人应在质保期满后，能根据采购人要求提供充足的备品、备件（中标后提供维修备品备件清单，清单应含备品备件价格），自行承诺书格式自拟。</w:t>
      </w:r>
      <w:r>
        <w:rPr>
          <w:color w:val="auto"/>
          <w:highlight w:val="none"/>
        </w:rP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6、设备履约验收要求</w:t>
      </w:r>
      <w:r>
        <w:rPr>
          <w:color w:val="auto"/>
          <w:highlight w:val="none"/>
        </w:rP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rPr>
          <w:color w:val="auto"/>
          <w:highlight w:val="none"/>
        </w:rP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6.2中标人交货前应对产品作出全面检查和对验收文件进行整理，并列出清单，作为采购人收货验收和使用的技术条件依据，检验的结果应随货物交采购人。</w:t>
      </w:r>
      <w:r>
        <w:rPr>
          <w:color w:val="auto"/>
          <w:highlight w:val="none"/>
        </w:rP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6.3采购人对中标人提供的货物在使用前，中标人需负责安装调试并培训采购人的使用操作人员，并协助采购人一起调试，直到符合技术要求。安装调试费用由中标人负责。</w:t>
      </w:r>
      <w:r>
        <w:rPr>
          <w:color w:val="auto"/>
          <w:highlight w:val="none"/>
        </w:rP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6.4验收时中标人必须在现场，验收完毕后作出验收结果报告。对技术复杂的项目，采购人可组织有关部门和专家进行验收，相关费用由中标人负责。</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eastAsia="zh-CN"/>
        </w:rPr>
        <w:t xml:space="preserve">履约保证金 </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 履约保证金缴纳的金额：</w:t>
      </w:r>
      <w:r>
        <w:rPr>
          <w:rFonts w:hint="eastAsia" w:ascii="宋体" w:hAnsi="宋体" w:eastAsia="宋体" w:cs="宋体"/>
          <w:b/>
          <w:bCs/>
          <w:color w:val="auto"/>
          <w:sz w:val="24"/>
          <w:szCs w:val="24"/>
          <w:highlight w:val="none"/>
          <w:lang w:eastAsia="zh-CN"/>
        </w:rPr>
        <w:t xml:space="preserve">政府采购合同金额的 </w:t>
      </w:r>
      <w:r>
        <w:rPr>
          <w:rFonts w:hint="eastAsia" w:ascii="宋体" w:hAnsi="宋体" w:eastAsia="宋体" w:cs="宋体"/>
          <w:b/>
          <w:bCs/>
          <w:color w:val="auto"/>
          <w:sz w:val="24"/>
          <w:szCs w:val="24"/>
          <w:highlight w:val="none"/>
          <w:u w:val="single"/>
          <w:lang w:eastAsia="zh-CN"/>
        </w:rPr>
        <w:t xml:space="preserve">10%</w:t>
      </w:r>
      <w:r>
        <w:rPr>
          <w:rFonts w:hint="eastAsia" w:ascii="宋体" w:hAnsi="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 </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 履约保证金缴纳形式：</w:t>
      </w:r>
      <w:r>
        <w:rPr>
          <w:rFonts w:hint="eastAsia" w:ascii="宋体" w:hAnsi="宋体" w:eastAsia="宋体" w:cs="宋体"/>
          <w:b/>
          <w:bCs/>
          <w:color w:val="auto"/>
          <w:sz w:val="24"/>
          <w:szCs w:val="24"/>
          <w:highlight w:val="none"/>
          <w:lang w:eastAsia="zh-CN"/>
        </w:rPr>
        <w:t xml:space="preserve">中标人应当以支票、汇票、本票或者金融机构、担保机构出具的保函等非现金形式提交</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 </w:t>
      </w:r>
      <w:r>
        <w:rPr>
          <w:color w:val="auto"/>
          <w:highlight w:val="none"/>
        </w:rP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.3 履约保证金缴纳期限：</w:t>
      </w:r>
      <w:r>
        <w:rPr>
          <w:rFonts w:hint="eastAsia" w:ascii="宋体" w:hAnsi="宋体" w:eastAsia="宋体" w:cs="宋体"/>
          <w:b/>
          <w:bCs/>
          <w:color w:val="auto"/>
          <w:sz w:val="24"/>
          <w:szCs w:val="24"/>
          <w:highlight w:val="none"/>
          <w:lang w:eastAsia="zh-CN"/>
        </w:rPr>
        <w:t xml:space="preserve">中标通知书签发后7日内提交，否则视为自动放弃； </w:t>
      </w:r>
      <w:r>
        <w:rPr>
          <w:color w:val="auto"/>
          <w:highlight w:val="none"/>
        </w:rP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 履约保证金退还条件及时间：</w:t>
      </w:r>
      <w:r>
        <w:rPr>
          <w:rFonts w:hint="eastAsia" w:ascii="宋体" w:hAnsi="宋体" w:eastAsia="宋体" w:cs="宋体"/>
          <w:b/>
          <w:bCs/>
          <w:color w:val="auto"/>
          <w:sz w:val="24"/>
          <w:szCs w:val="24"/>
          <w:highlight w:val="none"/>
          <w:lang w:eastAsia="zh-CN"/>
        </w:rPr>
        <w:t xml:space="preserve">工程验收合格后， 28 天内退还给承包人</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 </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 履约保证金退还方式：以中标人缴纳的形式退还；</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.6 履约保证金不予退还情形：中标人违约的，采购人将按照合同约定扣除其全部或部分履约保证金。如中标人违约给采购人造成的损失超过履约保证金的，应当依法赔偿超过部分的损失。</w:t>
      </w:r>
      <w:r>
        <w:rPr>
          <w:color w:val="auto"/>
          <w:highlight w:val="none"/>
        </w:rPr>
      </w:r>
    </w:p>
    <w:p>
      <w:pPr>
        <w:numPr>
          <w:ilvl w:val="0"/>
          <w:numId w:val="0"/>
        </w:numPr>
        <w:ind w:firstLine="482"/>
        <w:keepLines w:val="0"/>
        <w:keepNext w:val="0"/>
        <w:pageBreakBefore w:val="0"/>
        <w:spacing w:line="360" w:lineRule="auto"/>
        <w:widowControl w:val="off"/>
        <w:rPr>
          <w:rFonts w:hint="default"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8、</w:t>
      </w:r>
      <w:r>
        <w:rPr>
          <w:rFonts w:hint="eastAsia" w:ascii="宋体" w:hAnsi="宋体" w:cs="宋体"/>
          <w:b/>
          <w:bCs/>
          <w:color w:val="auto"/>
          <w:sz w:val="24"/>
          <w:szCs w:val="24"/>
          <w:highlight w:val="none"/>
          <w:lang w:val="en-US" w:eastAsia="zh-CN"/>
        </w:rPr>
        <w:t xml:space="preserve">其他要求</w:t>
      </w:r>
      <w:r>
        <w:rPr>
          <w:color w:val="auto"/>
          <w:highlight w:val="none"/>
        </w:rPr>
      </w:r>
    </w:p>
    <w:p>
      <w:pPr>
        <w:ind w:firstLine="482"/>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eastAsia="宋体" w:cs="宋体"/>
          <w:b/>
          <w:bCs/>
          <w:i w:val="0"/>
          <w:iCs w:val="0"/>
          <w:color w:val="auto"/>
          <w:sz w:val="24"/>
          <w:szCs w:val="24"/>
          <w:highlight w:val="none"/>
          <w:u w:val="none"/>
          <w:lang w:eastAsia="zh-CN"/>
        </w:rPr>
        <w:t xml:space="preserve">★</w:t>
      </w:r>
      <w:r>
        <w:rPr>
          <w:rFonts w:hint="eastAsia" w:ascii="宋体" w:hAnsi="宋体" w:cs="宋体"/>
          <w:b/>
          <w:bCs/>
          <w:color w:val="auto"/>
          <w:sz w:val="24"/>
          <w:szCs w:val="24"/>
          <w:highlight w:val="none"/>
          <w:lang w:val="en-US" w:eastAsia="zh-CN"/>
        </w:rPr>
        <w:t xml:space="preserve">8.1采购人不组织集中现场勘察，供应</w:t>
      </w:r>
      <w:r>
        <w:rPr>
          <w:rFonts w:hint="eastAsia" w:ascii="宋体" w:hAnsi="宋体" w:cs="宋体"/>
          <w:b/>
          <w:bCs/>
          <w:color w:val="auto"/>
          <w:sz w:val="24"/>
          <w:szCs w:val="24"/>
          <w:highlight w:val="none"/>
          <w:lang w:val="en-US" w:eastAsia="zh-CN"/>
        </w:rPr>
        <w:t xml:space="preserve">商应在投标截止日期前自行安排时间对项目现场及周边环境进行全面考察，充分了解现场地形地貌、地质条件、地下管线分布、周边建（构）筑物情况、交通通行状况、水电接入条件、施工场地限制及当地气候环境等所有与本项目施工相关的现场实际情况。供应商的响应文件将被视为已充分考虑现场复杂条件及所有可能影响施工的因素，投标报价已包含应对现场复杂条件所需的各项费用（如地基处理费、管线保护费、交通协调费、安全防护费等）。投标供应商未进行现场考察或考察不全面导致的投标失误、施工风险及费用增加，均由投标人自行承担，招标人不承担任何责任。</w:t>
      </w:r>
      <w:r>
        <w:rPr>
          <w:color w:val="auto"/>
          <w:highlight w:val="none"/>
        </w:rP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8.2工作中涉及的敏感资料、电子数据等相关信息，中标人应严格执行保密的相关规定，不得以任何方式向任何第三人披露、泄露或许可第三人使用，否则追究其相应法律责任。</w:t>
      </w:r>
      <w:r>
        <w:rPr>
          <w:color w:val="auto"/>
          <w:highlight w:val="none"/>
        </w:rP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8.3本项目涉及商品包装和快递包装的，中标人提供产品及相关快递服务的要满足《商品包装政府采购需求标准(试行)》、《快递包装政府采购需求标准(试行)》的相关要求。</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r>
      <w:r>
        <w:rPr>
          <w:color w:val="auto"/>
          <w:highlight w:val="none"/>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pStyle w:val="709"/>
        <w:jc w:val="center"/>
        <w:rPr>
          <w:rFonts w:hint="eastAsia"/>
          <w:b/>
          <w:bCs/>
          <w:color w:val="auto"/>
          <w:highlight w:val="none"/>
        </w:rPr>
      </w:pPr>
      <w:r>
        <w:rPr>
          <w:color w:val="auto"/>
          <w:highlight w:val="none"/>
        </w:rPr>
      </w:r>
      <w:bookmarkStart w:id="253" w:name="_Toc142708871"/>
      <w:r>
        <w:rPr>
          <w:color w:val="auto"/>
          <w:highlight w:val="none"/>
        </w:rPr>
      </w:r>
      <w:bookmarkStart w:id="254" w:name="_Toc153678434"/>
      <w:r>
        <w:rPr>
          <w:color w:val="auto"/>
          <w:highlight w:val="none"/>
        </w:rPr>
      </w:r>
      <w:bookmarkStart w:id="255" w:name="_Toc204595694"/>
      <w:r>
        <w:rPr>
          <w:color w:val="auto"/>
          <w:highlight w:val="none"/>
        </w:rPr>
      </w:r>
      <w:bookmarkStart w:id="256" w:name="_Toc224532089"/>
      <w:r>
        <w:rPr>
          <w:color w:val="auto"/>
          <w:highlight w:val="none"/>
        </w:rPr>
      </w:r>
      <w:bookmarkStart w:id="257" w:name="_Toc515874992"/>
      <w:r>
        <w:rPr>
          <w:color w:val="auto"/>
          <w:highlight w:val="none"/>
        </w:rPr>
      </w:r>
      <w:bookmarkStart w:id="258" w:name="_Toc22510"/>
      <w:r>
        <w:rPr>
          <w:color w:val="auto"/>
          <w:highlight w:val="none"/>
        </w:rPr>
      </w:r>
      <w:bookmarkStart w:id="259" w:name="_Toc28603"/>
      <w:r>
        <w:rPr>
          <w:color w:val="auto"/>
          <w:highlight w:val="none"/>
        </w:rPr>
      </w:r>
      <w:bookmarkStart w:id="260" w:name="_Toc29603"/>
      <w:r>
        <w:rPr>
          <w:rFonts w:hint="eastAsia"/>
          <w:b/>
          <w:bCs/>
          <w:color w:val="auto"/>
          <w:highlight w:val="none"/>
        </w:rPr>
        <w:t xml:space="preserve">第</w:t>
      </w:r>
      <w:r>
        <w:rPr>
          <w:rFonts w:hint="eastAsia"/>
          <w:b/>
          <w:bCs/>
          <w:color w:val="auto"/>
          <w:highlight w:val="none"/>
          <w:lang w:eastAsia="zh-CN"/>
        </w:rPr>
        <w:t xml:space="preserve">五</w:t>
      </w:r>
      <w:r>
        <w:rPr>
          <w:rFonts w:hint="eastAsia"/>
          <w:b/>
          <w:bCs/>
          <w:color w:val="auto"/>
          <w:highlight w:val="none"/>
        </w:rPr>
        <w:t xml:space="preserve">章 </w:t>
      </w:r>
      <w:bookmarkEnd w:id="253"/>
      <w:r>
        <w:rPr>
          <w:color w:val="auto"/>
          <w:highlight w:val="none"/>
        </w:rPr>
      </w:r>
      <w:bookmarkEnd w:id="254"/>
      <w:r>
        <w:rPr>
          <w:rFonts w:hint="eastAsia"/>
          <w:b/>
          <w:bCs/>
          <w:color w:val="auto"/>
          <w:highlight w:val="none"/>
        </w:rPr>
        <w:t xml:space="preserve">工程量清单</w:t>
      </w:r>
      <w:bookmarkEnd w:id="255"/>
      <w:r>
        <w:rPr>
          <w:color w:val="auto"/>
          <w:highlight w:val="none"/>
        </w:rPr>
      </w:r>
      <w:bookmarkEnd w:id="256"/>
      <w:r>
        <w:rPr>
          <w:color w:val="auto"/>
          <w:highlight w:val="none"/>
        </w:rPr>
      </w:r>
      <w:bookmarkEnd w:id="257"/>
      <w:r>
        <w:rPr>
          <w:color w:val="auto"/>
          <w:highlight w:val="none"/>
        </w:rPr>
      </w:r>
      <w:bookmarkEnd w:id="258"/>
      <w:r>
        <w:rPr>
          <w:color w:val="auto"/>
          <w:highlight w:val="none"/>
        </w:rPr>
      </w:r>
      <w:bookmarkEnd w:id="259"/>
      <w:r>
        <w:rPr>
          <w:rFonts w:hint="eastAsia"/>
          <w:b/>
          <w:bCs/>
          <w:color w:val="auto"/>
          <w:highlight w:val="none"/>
          <w:lang w:eastAsia="zh-CN"/>
        </w:rPr>
        <w:t xml:space="preserve">（</w:t>
      </w:r>
      <w:r>
        <w:rPr>
          <w:rFonts w:hint="eastAsia"/>
          <w:b/>
          <w:bCs/>
          <w:color w:val="auto"/>
          <w:highlight w:val="none"/>
          <w:lang w:val="en-US" w:eastAsia="zh-CN"/>
        </w:rPr>
        <w:t xml:space="preserve">另附</w:t>
      </w:r>
      <w:r>
        <w:rPr>
          <w:rFonts w:hint="eastAsia"/>
          <w:b/>
          <w:bCs/>
          <w:color w:val="auto"/>
          <w:highlight w:val="none"/>
          <w:lang w:eastAsia="zh-CN"/>
        </w:rPr>
        <w:t xml:space="preserve">）</w:t>
      </w:r>
      <w:bookmarkEnd w:id="260"/>
      <w:r>
        <w:rPr>
          <w:color w:val="auto"/>
          <w:highlight w:val="none"/>
        </w:rPr>
      </w:r>
      <w:r>
        <w:rPr>
          <w:color w:val="auto"/>
          <w:highlight w:val="none"/>
        </w:rPr>
      </w:r>
    </w:p>
    <w:p>
      <w:pPr>
        <w:jc w:val="both"/>
        <w:rPr>
          <w:rFonts w:hint="eastAsia" w:ascii="宋体" w:hAnsi="宋体" w:eastAsia="宋体" w:cs="宋体"/>
          <w:color w:val="auto"/>
          <w:sz w:val="24"/>
          <w:szCs w:val="32"/>
          <w:highlight w:val="none"/>
        </w:rPr>
      </w:pPr>
      <w:r>
        <w:rPr>
          <w:color w:val="auto"/>
          <w:highlight w:val="none"/>
        </w:rPr>
      </w:r>
      <w:bookmarkStart w:id="261" w:name="_Toc9612"/>
      <w:r>
        <w:rPr>
          <w:color w:val="auto"/>
          <w:highlight w:val="none"/>
        </w:rPr>
      </w:r>
      <w:bookmarkStart w:id="262" w:name="_Toc204595695"/>
      <w:r>
        <w:rPr>
          <w:color w:val="auto"/>
          <w:highlight w:val="none"/>
        </w:rPr>
      </w:r>
      <w:bookmarkStart w:id="263" w:name="_Toc224532090"/>
      <w:r>
        <w:rPr>
          <w:color w:val="auto"/>
          <w:highlight w:val="none"/>
        </w:rPr>
      </w:r>
      <w:bookmarkStart w:id="264" w:name="_Toc515874993"/>
      <w:r>
        <w:rPr>
          <w:color w:val="auto"/>
          <w:highlight w:val="none"/>
        </w:rPr>
      </w:r>
      <w:r>
        <w:rPr>
          <w:color w:val="auto"/>
          <w:highlight w:val="none"/>
        </w:rPr>
      </w:r>
    </w:p>
    <w:p>
      <w:pPr>
        <w:pStyle w:val="724"/>
        <w:jc w:val="left"/>
        <w:keepLines w:val="0"/>
        <w:keepNext w:val="0"/>
        <w:pageBreakBefore w:val="0"/>
        <w:spacing w:line="520" w:lineRule="exact"/>
        <w:widowControl w:val="off"/>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1．工程量清单编制说明 </w:t>
      </w:r>
      <w:r>
        <w:rPr>
          <w:color w:val="auto"/>
          <w:highlight w:val="none"/>
        </w:rPr>
      </w:r>
    </w:p>
    <w:p>
      <w:pPr>
        <w:pStyle w:val="724"/>
        <w:ind w:firstLine="480"/>
        <w:jc w:val="left"/>
        <w:keepLines w:val="0"/>
        <w:keepNext w:val="0"/>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本工程量清单是依据现行国家标准《建设工程工程量清单计价规范》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GB50500-2013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及其 9 本计算规范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以下简称“计价规范”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、地方规定等编制。</w:t>
      </w:r>
      <w:r>
        <w:rPr>
          <w:color w:val="auto"/>
          <w:highlight w:val="none"/>
        </w:rPr>
      </w:r>
    </w:p>
    <w:p>
      <w:pPr>
        <w:pStyle w:val="724"/>
        <w:ind w:firstLine="480"/>
        <w:jc w:val="left"/>
        <w:keepLines w:val="0"/>
        <w:keepNext w:val="0"/>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本工程量清单应与采购文件中的供应商须知、通用合同条款、专用合同条款、技术标准和要求内容一起阅读和理解。</w:t>
      </w:r>
      <w:r>
        <w:rPr>
          <w:color w:val="auto"/>
          <w:highlight w:val="none"/>
        </w:rPr>
      </w:r>
    </w:p>
    <w:p>
      <w:pPr>
        <w:pStyle w:val="724"/>
        <w:ind w:firstLine="480"/>
        <w:jc w:val="left"/>
        <w:keepLines w:val="0"/>
        <w:keepNext w:val="0"/>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本工程量清单仅是投标报价的共同基础，竣工结算的工程量按合同约定确定。合同价格的确定以及价款支付应遵循合同条款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包括通用合同条款和专用合同条款</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、技术标准和要求以及本章的有关约定。</w:t>
      </w:r>
      <w:r>
        <w:rPr>
          <w:color w:val="auto"/>
          <w:highlight w:val="none"/>
        </w:rPr>
      </w:r>
    </w:p>
    <w:p>
      <w:pPr>
        <w:pStyle w:val="724"/>
        <w:ind w:firstLine="480"/>
        <w:jc w:val="left"/>
        <w:keepLines w:val="0"/>
        <w:keepNext w:val="0"/>
        <w:pageBreakBefore w:val="0"/>
        <w:spacing w:line="52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本条第 1.1 款中约定的计量和计价规则适用于合同履约过程中工程量计量与价款支付、工程变更、索赔和工程结算。</w:t>
      </w:r>
      <w:r>
        <w:rPr>
          <w:color w:val="auto"/>
          <w:highlight w:val="none"/>
        </w:rPr>
      </w:r>
    </w:p>
    <w:p>
      <w:pPr>
        <w:pStyle w:val="724"/>
        <w:jc w:val="left"/>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投标报价说明</w:t>
      </w:r>
      <w:r>
        <w:rPr>
          <w:color w:val="auto"/>
          <w:highlight w:val="none"/>
        </w:rPr>
      </w:r>
    </w:p>
    <w:p>
      <w:pPr>
        <w:pStyle w:val="724"/>
        <w:ind w:firstLine="480"/>
        <w:jc w:val="left"/>
        <w:keepLines w:val="0"/>
        <w:keepNext w:val="0"/>
        <w:pageBreakBefore w:val="0"/>
        <w:spacing w:line="520" w:lineRule="exact"/>
        <w:widowControl w:val="off"/>
        <w:rPr>
          <w:rFonts w:hint="default"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2.1</w:t>
      </w:r>
      <w:r>
        <w:rPr>
          <w:rFonts w:hint="default" w:ascii="宋体" w:hAnsi="宋体" w:cs="宋体"/>
          <w:b w:val="0"/>
          <w:bCs/>
          <w:color w:val="auto"/>
          <w:sz w:val="24"/>
          <w:szCs w:val="24"/>
          <w:highlight w:val="none"/>
          <w:lang w:val="en-US" w:eastAsia="zh-CN"/>
        </w:rPr>
        <w:t xml:space="preserve">工程量清单中的每一子目须填入单价或价格，且只允许有一个报价。</w:t>
      </w:r>
      <w:r>
        <w:rPr>
          <w:color w:val="auto"/>
          <w:highlight w:val="none"/>
        </w:rPr>
      </w:r>
    </w:p>
    <w:p>
      <w:pPr>
        <w:pStyle w:val="724"/>
        <w:ind w:firstLine="480"/>
        <w:jc w:val="left"/>
        <w:keepLines w:val="0"/>
        <w:keepNext w:val="0"/>
        <w:pageBreakBefore w:val="0"/>
        <w:spacing w:line="520" w:lineRule="exact"/>
        <w:widowControl w:val="off"/>
        <w:rPr>
          <w:rFonts w:hint="default"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2.2</w:t>
      </w:r>
      <w:r>
        <w:rPr>
          <w:rFonts w:hint="default" w:ascii="宋体" w:hAnsi="宋体" w:cs="宋体"/>
          <w:b w:val="0"/>
          <w:bCs/>
          <w:color w:val="auto"/>
          <w:sz w:val="24"/>
          <w:szCs w:val="24"/>
          <w:highlight w:val="none"/>
          <w:lang w:val="en-US" w:eastAsia="zh-CN"/>
        </w:rPr>
        <w:t xml:space="preserve">工程量清单中标价的单价或金额，应包括所需的人工费、材料和施工机具使用费和企业管理费、利润以及一定范围内的风险费用等。</w:t>
      </w:r>
      <w:r>
        <w:rPr>
          <w:color w:val="auto"/>
          <w:highlight w:val="none"/>
        </w:rPr>
      </w:r>
    </w:p>
    <w:p>
      <w:pPr>
        <w:pStyle w:val="724"/>
        <w:ind w:firstLine="480"/>
        <w:jc w:val="left"/>
        <w:keepLines w:val="0"/>
        <w:keepNext w:val="0"/>
        <w:pageBreakBefore w:val="0"/>
        <w:spacing w:line="520" w:lineRule="exact"/>
        <w:widowControl w:val="off"/>
        <w:rPr>
          <w:rFonts w:hint="default"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2.3</w:t>
      </w:r>
      <w:r>
        <w:rPr>
          <w:rFonts w:hint="default" w:ascii="宋体" w:hAnsi="宋体" w:cs="宋体"/>
          <w:b w:val="0"/>
          <w:bCs/>
          <w:color w:val="auto"/>
          <w:sz w:val="24"/>
          <w:szCs w:val="24"/>
          <w:highlight w:val="none"/>
          <w:lang w:val="en-US" w:eastAsia="zh-CN"/>
        </w:rPr>
        <w:t xml:space="preserve">工程量清单中投标人没有填入单价或价格的子目，其费用视为已分摊在工程量清单中其他相关子目的单价或价格之中。</w:t>
      </w:r>
      <w:r>
        <w:rPr>
          <w:color w:val="auto"/>
          <w:highlight w:val="none"/>
        </w:rPr>
      </w:r>
    </w:p>
    <w:p>
      <w:pPr>
        <w:pStyle w:val="724"/>
        <w:ind w:firstLine="480"/>
        <w:jc w:val="left"/>
        <w:keepLines w:val="0"/>
        <w:keepNext w:val="0"/>
        <w:pageBreakBefore w:val="0"/>
        <w:spacing w:line="520" w:lineRule="exact"/>
        <w:widowControl w:val="off"/>
        <w:rPr>
          <w:rFonts w:hint="default"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2.4</w:t>
      </w:r>
      <w:r>
        <w:rPr>
          <w:rFonts w:hint="default" w:ascii="宋体" w:hAnsi="宋体" w:cs="宋体"/>
          <w:b w:val="0"/>
          <w:bCs/>
          <w:color w:val="auto"/>
          <w:sz w:val="24"/>
          <w:szCs w:val="24"/>
          <w:highlight w:val="none"/>
          <w:lang w:val="en-US" w:eastAsia="zh-CN"/>
        </w:rPr>
        <w:t xml:space="preserve">暂列金额的数量及拟用子目的说明：详见工程量清单。</w:t>
      </w:r>
      <w:r>
        <w:rPr>
          <w:color w:val="auto"/>
          <w:highlight w:val="none"/>
        </w:rPr>
      </w:r>
    </w:p>
    <w:p>
      <w:pPr>
        <w:pStyle w:val="724"/>
        <w:jc w:val="left"/>
        <w:keepLines w:val="0"/>
        <w:keepNext w:val="0"/>
        <w:pageBreakBefore w:val="0"/>
        <w:spacing w:line="5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其他说明：清单与图纸不一致处，以清单为准进行报价。</w:t>
      </w:r>
      <w:r>
        <w:rPr>
          <w:color w:val="auto"/>
          <w:highlight w:val="none"/>
        </w:rPr>
      </w:r>
    </w:p>
    <w:p>
      <w:pPr>
        <w:pStyle w:val="724"/>
        <w:jc w:val="left"/>
        <w:keepLines w:val="0"/>
        <w:keepNext w:val="0"/>
        <w:pageBreakBefore w:val="0"/>
        <w:spacing w:line="520" w:lineRule="exact"/>
        <w:widowControl w:val="off"/>
        <w:rPr>
          <w:rFonts w:hint="default" w:ascii="宋体" w:hAnsi="宋体" w:eastAsia="宋体" w:cs="宋体"/>
          <w:color w:val="auto"/>
          <w:sz w:val="24"/>
          <w:szCs w:val="32"/>
          <w:highlight w:val="none"/>
        </w:rPr>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．工程量清单</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见附件</w:t>
      </w:r>
      <w:r>
        <w:rPr>
          <w:color w:val="auto"/>
          <w:highlight w:val="none"/>
        </w:rPr>
      </w:r>
    </w:p>
    <w:p>
      <w:pPr>
        <w:jc w:val="center"/>
        <w:rPr>
          <w:rFonts w:hint="eastAsia" w:ascii="宋体" w:hAnsi="宋体" w:eastAsia="宋体" w:cs="宋体"/>
          <w:b/>
          <w:bCs/>
          <w:color w:val="auto"/>
          <w:sz w:val="44"/>
          <w:szCs w:val="44"/>
          <w:highlight w:val="none"/>
        </w:rPr>
        <w:outlineLvl w:val="0"/>
      </w:pPr>
      <w:r>
        <w:rPr>
          <w:color w:val="auto"/>
          <w:highlight w:val="none"/>
        </w:rPr>
      </w:r>
      <w:bookmarkStart w:id="265" w:name="_Toc16891"/>
      <w:r>
        <w:rPr>
          <w:color w:val="auto"/>
          <w:highlight w:val="none"/>
        </w:rPr>
      </w:r>
      <w:r>
        <w:rPr>
          <w:color w:val="auto"/>
          <w:highlight w:val="none"/>
        </w:rPr>
      </w:r>
    </w:p>
    <w:p>
      <w:pPr>
        <w:jc w:val="center"/>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rPr>
          <w:color w:val="auto"/>
          <w:highlight w:val="none"/>
        </w:rPr>
      </w:r>
    </w:p>
    <w:p>
      <w:pPr>
        <w:jc w:val="center"/>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rPr>
          <w:color w:val="auto"/>
          <w:highlight w:val="none"/>
        </w:rPr>
      </w:r>
    </w:p>
    <w:p>
      <w:pPr>
        <w:jc w:val="center"/>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rPr>
          <w:color w:val="auto"/>
          <w:highlight w:val="none"/>
        </w:rPr>
      </w:r>
    </w:p>
    <w:p>
      <w:pPr>
        <w:jc w:val="center"/>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rPr>
          <w:color w:val="auto"/>
          <w:highlight w:val="none"/>
        </w:rPr>
      </w:r>
    </w:p>
    <w:p>
      <w:pPr>
        <w:jc w:val="center"/>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rPr>
          <w:color w:val="auto"/>
          <w:highlight w:val="none"/>
        </w:rPr>
      </w:r>
    </w:p>
    <w:p>
      <w:pPr>
        <w:pStyle w:val="709"/>
        <w:jc w:val="center"/>
        <w:rPr>
          <w:rFonts w:hint="eastAsia"/>
          <w:b/>
          <w:bCs/>
          <w:color w:val="auto"/>
          <w:highlight w:val="none"/>
        </w:rPr>
      </w:pPr>
      <w:r>
        <w:rPr>
          <w:color w:val="auto"/>
          <w:highlight w:val="none"/>
        </w:rPr>
      </w:r>
      <w:bookmarkStart w:id="266" w:name="_Toc27950"/>
      <w:r>
        <w:rPr>
          <w:rFonts w:hint="eastAsia"/>
          <w:b/>
          <w:bCs/>
          <w:color w:val="auto"/>
          <w:highlight w:val="none"/>
        </w:rPr>
        <w:t xml:space="preserve">第</w:t>
      </w:r>
      <w:r>
        <w:rPr>
          <w:rFonts w:hint="eastAsia"/>
          <w:b/>
          <w:bCs/>
          <w:color w:val="auto"/>
          <w:highlight w:val="none"/>
          <w:lang w:eastAsia="zh-CN"/>
        </w:rPr>
        <w:t xml:space="preserve">六</w:t>
      </w:r>
      <w:r>
        <w:rPr>
          <w:rFonts w:hint="eastAsia"/>
          <w:b/>
          <w:bCs/>
          <w:color w:val="auto"/>
          <w:highlight w:val="none"/>
        </w:rPr>
        <w:t xml:space="preserve">章 图纸和技术资料</w:t>
      </w:r>
      <w:bookmarkEnd w:id="261"/>
      <w:r>
        <w:rPr>
          <w:color w:val="auto"/>
          <w:highlight w:val="none"/>
        </w:rPr>
      </w:r>
      <w:bookmarkEnd w:id="262"/>
      <w:r>
        <w:rPr>
          <w:color w:val="auto"/>
          <w:highlight w:val="none"/>
        </w:rPr>
      </w:r>
      <w:bookmarkEnd w:id="263"/>
      <w:r>
        <w:rPr>
          <w:color w:val="auto"/>
          <w:highlight w:val="none"/>
        </w:rPr>
      </w:r>
      <w:bookmarkEnd w:id="264"/>
      <w:r>
        <w:rPr>
          <w:color w:val="auto"/>
          <w:highlight w:val="none"/>
        </w:rPr>
      </w:r>
      <w:bookmarkEnd w:id="265"/>
      <w:r>
        <w:rPr>
          <w:color w:val="auto"/>
          <w:highlight w:val="none"/>
        </w:rPr>
      </w:r>
      <w:bookmarkEnd w:id="266"/>
      <w:r>
        <w:rPr>
          <w:color w:val="auto"/>
          <w:highlight w:val="none"/>
        </w:rPr>
      </w:r>
      <w:r>
        <w:rPr>
          <w:color w:val="auto"/>
          <w:highlight w:val="none"/>
        </w:rPr>
      </w:r>
    </w:p>
    <w:p>
      <w:pPr>
        <w:pStyle w:val="76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746"/>
        <w:rPr>
          <w:rFonts w:hint="default"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技术规格书</w:t>
      </w:r>
      <w:r>
        <w:rPr>
          <w:color w:val="auto"/>
          <w:highlight w:val="none"/>
        </w:rPr>
      </w:r>
    </w:p>
    <w:p>
      <w:pPr>
        <w:jc w:val="left"/>
        <w:keepLines w:val="0"/>
        <w:keepNext w:val="0"/>
        <w:pageBreakBefore w:val="0"/>
        <w:spacing w:line="240" w:lineRule="auto"/>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lang w:val="en-US" w:eastAsia="zh-CN"/>
        </w:rPr>
        <w:t xml:space="preserve">1、</w:t>
      </w:r>
      <w:r>
        <w:rPr>
          <w:rFonts w:hint="eastAsia" w:ascii="宋体" w:hAnsi="宋体" w:eastAsia="宋体" w:cs="宋体"/>
          <w:bCs/>
          <w:strike w:val="0"/>
          <w:color w:val="auto"/>
          <w:sz w:val="24"/>
          <w:szCs w:val="24"/>
          <w:highlight w:val="none"/>
        </w:rPr>
        <w:t xml:space="preserve">高压开关柜</w:t>
      </w:r>
      <w:r>
        <w:rPr>
          <w:rFonts w:hint="eastAsia" w:ascii="宋体" w:hAnsi="宋体" w:eastAsia="宋体" w:cs="宋体"/>
          <w:bCs/>
          <w:strike w:val="0"/>
          <w:color w:val="auto"/>
          <w:sz w:val="24"/>
          <w:szCs w:val="24"/>
          <w:highlight w:val="none"/>
          <w:lang w:val="en-US" w:eastAsia="zh-CN"/>
        </w:rPr>
        <w:t xml:space="preserve">改造</w:t>
      </w:r>
      <w:r>
        <w:rPr>
          <w:color w:val="auto"/>
          <w:highlight w:val="none"/>
        </w:rPr>
      </w:r>
    </w:p>
    <w:p>
      <w:pPr>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US" w:eastAsia="zh-CN"/>
        </w:rPr>
        <w:t xml:space="preserve">1</w:t>
      </w:r>
      <w:r>
        <w:rPr>
          <w:rFonts w:hint="eastAsia"/>
          <w:strike w:val="0"/>
          <w:color w:val="auto"/>
          <w:sz w:val="24"/>
          <w:szCs w:val="24"/>
          <w:highlight w:val="none"/>
        </w:rPr>
        <w:t xml:space="preserve">.</w:t>
      </w:r>
      <w:r>
        <w:rPr>
          <w:rFonts w:hint="eastAsia"/>
          <w:strike w:val="0"/>
          <w:color w:val="auto"/>
          <w:sz w:val="24"/>
          <w:szCs w:val="24"/>
          <w:highlight w:val="none"/>
          <w:lang w:val="en-US" w:eastAsia="zh-CN"/>
        </w:rPr>
        <w:t xml:space="preserve">1</w:t>
      </w:r>
      <w:r>
        <w:rPr>
          <w:rFonts w:hint="eastAsia"/>
          <w:strike w:val="0"/>
          <w:color w:val="auto"/>
          <w:sz w:val="24"/>
          <w:szCs w:val="24"/>
          <w:highlight w:val="none"/>
        </w:rPr>
        <w:t xml:space="preserve"> 配套微机综保装置技术要求</w:t>
      </w:r>
      <w:r>
        <w:rPr>
          <w:color w:val="auto"/>
          <w:highlight w:val="none"/>
        </w:rPr>
      </w:r>
    </w:p>
    <w:p>
      <w:pPr>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US" w:eastAsia="zh-CN"/>
        </w:rPr>
        <w:t xml:space="preserve">1</w:t>
      </w:r>
      <w:r>
        <w:rPr>
          <w:rFonts w:hint="eastAsia"/>
          <w:strike w:val="0"/>
          <w:color w:val="auto"/>
          <w:sz w:val="24"/>
          <w:szCs w:val="24"/>
          <w:highlight w:val="none"/>
        </w:rPr>
        <w:t xml:space="preserve">.</w:t>
      </w:r>
      <w:r>
        <w:rPr>
          <w:rFonts w:hint="eastAsia"/>
          <w:strike w:val="0"/>
          <w:color w:val="auto"/>
          <w:sz w:val="24"/>
          <w:szCs w:val="24"/>
          <w:highlight w:val="none"/>
          <w:lang w:val="en-US" w:eastAsia="zh-CN"/>
        </w:rPr>
        <w:t xml:space="preserve">1</w:t>
      </w:r>
      <w:r>
        <w:rPr>
          <w:rFonts w:hint="eastAsia"/>
          <w:strike w:val="0"/>
          <w:color w:val="auto"/>
          <w:sz w:val="24"/>
          <w:szCs w:val="24"/>
          <w:highlight w:val="none"/>
        </w:rPr>
        <w:t xml:space="preserve">.1总的要求</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微机综保装置</w:t>
      </w:r>
      <w:r>
        <w:rPr>
          <w:rFonts w:hint="eastAsia" w:ascii="宋体" w:hAnsi="宋体"/>
          <w:strike w:val="0"/>
          <w:color w:val="auto"/>
          <w:sz w:val="24"/>
          <w:szCs w:val="24"/>
          <w:highlight w:val="none"/>
        </w:rPr>
        <w:t xml:space="preserve">采用国产知名产品</w:t>
      </w:r>
      <w:r>
        <w:rPr>
          <w:rFonts w:hint="eastAsia" w:ascii="宋体" w:hAnsi="宋体"/>
          <w:strike w:val="0"/>
          <w:color w:val="auto"/>
          <w:sz w:val="24"/>
          <w:szCs w:val="24"/>
          <w:highlight w:val="none"/>
          <w:lang w:eastAsia="zh-CN"/>
        </w:rPr>
        <w:t xml:space="preserve">（</w:t>
      </w:r>
      <w:r>
        <w:rPr>
          <w:rFonts w:hint="eastAsia" w:ascii="宋体" w:hAnsi="宋体"/>
          <w:strike w:val="0"/>
          <w:color w:val="auto"/>
          <w:sz w:val="24"/>
          <w:szCs w:val="24"/>
          <w:highlight w:val="none"/>
        </w:rPr>
        <w:t xml:space="preserve">已备注）。</w:t>
      </w:r>
      <w:r>
        <w:rPr>
          <w:color w:val="auto"/>
          <w:highlight w:val="none"/>
        </w:rPr>
      </w:r>
    </w:p>
    <w:p>
      <w:pPr>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US" w:eastAsia="zh-CN"/>
        </w:rPr>
        <w:t xml:space="preserve">1.1</w:t>
      </w:r>
      <w:r>
        <w:rPr>
          <w:rFonts w:hint="eastAsia"/>
          <w:strike w:val="0"/>
          <w:color w:val="auto"/>
          <w:sz w:val="24"/>
          <w:szCs w:val="24"/>
          <w:highlight w:val="none"/>
        </w:rPr>
        <w:t xml:space="preserve">.2适用范围</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本技术协议书对</w:t>
      </w:r>
      <w:r>
        <w:rPr>
          <w:rFonts w:hint="eastAsia"/>
          <w:strike w:val="0"/>
          <w:color w:val="auto"/>
          <w:sz w:val="24"/>
          <w:szCs w:val="24"/>
          <w:highlight w:val="none"/>
        </w:rPr>
        <w:t xml:space="preserve">总变电所界区内10kV配电装置10KV开关柜</w:t>
      </w:r>
      <w:r>
        <w:rPr>
          <w:rFonts w:hint="eastAsia"/>
          <w:strike w:val="0"/>
          <w:color w:val="auto"/>
          <w:sz w:val="24"/>
          <w:szCs w:val="24"/>
          <w:highlight w:val="none"/>
          <w:lang w:val="en-GB"/>
        </w:rPr>
        <w:t xml:space="preserve">的微机综合保护装置的设计、选材、制造和检查提出最基本的要求。</w:t>
      </w:r>
      <w:r>
        <w:rPr>
          <w:rFonts w:hint="eastAsia"/>
          <w:strike w:val="0"/>
          <w:color w:val="auto"/>
          <w:sz w:val="24"/>
          <w:szCs w:val="24"/>
          <w:highlight w:val="none"/>
        </w:rPr>
        <w:t xml:space="preserve">微机综保装置应由</w:t>
      </w:r>
      <w:r>
        <w:rPr>
          <w:rFonts w:hint="eastAsia"/>
          <w:strike w:val="0"/>
          <w:color w:val="auto"/>
          <w:sz w:val="24"/>
          <w:szCs w:val="24"/>
          <w:highlight w:val="none"/>
          <w:lang w:val="en-US" w:eastAsia="zh-CN"/>
        </w:rPr>
        <w:t xml:space="preserve">施工单位</w:t>
      </w:r>
      <w:r>
        <w:rPr>
          <w:rFonts w:hint="eastAsia"/>
          <w:strike w:val="0"/>
          <w:color w:val="auto"/>
          <w:sz w:val="24"/>
          <w:szCs w:val="24"/>
          <w:highlight w:val="none"/>
        </w:rPr>
        <w:t xml:space="preserve">配置安装。</w:t>
      </w:r>
      <w:r>
        <w:rPr>
          <w:color w:val="auto"/>
          <w:highlight w:val="none"/>
        </w:rPr>
      </w:r>
    </w:p>
    <w:p>
      <w:pPr>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US" w:eastAsia="zh-CN"/>
        </w:rPr>
        <w:t xml:space="preserve">1.1</w:t>
      </w:r>
      <w:r>
        <w:rPr>
          <w:rFonts w:hint="eastAsia"/>
          <w:strike w:val="0"/>
          <w:color w:val="auto"/>
          <w:sz w:val="24"/>
          <w:szCs w:val="24"/>
          <w:highlight w:val="none"/>
        </w:rPr>
        <w:t xml:space="preserve">.3标准协议</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微机保护装置应符合相关国家标准、行业标准和技术协议，且采用的上述标准和技术协议应为最新版本。这些标准包括以下标准，但不局限于以下标准。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国家标准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DL/T67l</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电机变压器组保护装置通用技术条件</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GB2423</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电工电子产品基本环境试验规程</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GB-2887</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计算机场地技术条件</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GB7261</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继电器及继电保护装置基本试验方法</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GB-2887</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计算机场地安全要求</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GB/14537</w:t>
      </w:r>
      <w:r>
        <w:rPr>
          <w:rFonts w:hint="eastAsia"/>
          <w:strike w:val="0"/>
          <w:color w:val="auto"/>
          <w:sz w:val="24"/>
          <w:szCs w:val="24"/>
          <w:highlight w:val="none"/>
        </w:rPr>
        <w:tab/>
      </w:r>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量度继电器和保护装置的冲击和碰撞试验</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GB/T14598</w:t>
      </w:r>
      <w:r>
        <w:rPr>
          <w:rFonts w:hint="eastAsia"/>
          <w:strike w:val="0"/>
          <w:color w:val="auto"/>
          <w:sz w:val="24"/>
          <w:szCs w:val="24"/>
          <w:highlight w:val="none"/>
        </w:rPr>
        <w:tab/>
      </w:r>
      <w:r>
        <w:rPr>
          <w:rFonts w:hint="eastAsia"/>
          <w:strike w:val="0"/>
          <w:color w:val="auto"/>
          <w:sz w:val="24"/>
          <w:szCs w:val="24"/>
          <w:highlight w:val="none"/>
        </w:rPr>
        <w:t xml:space="preserve">辐射电磁场干扰试验</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GB/T14598</w:t>
      </w:r>
      <w:r>
        <w:rPr>
          <w:rFonts w:hint="eastAsia"/>
          <w:strike w:val="0"/>
          <w:color w:val="auto"/>
          <w:sz w:val="24"/>
          <w:szCs w:val="24"/>
          <w:highlight w:val="none"/>
        </w:rPr>
        <w:tab/>
      </w:r>
      <w:r>
        <w:rPr>
          <w:rFonts w:hint="eastAsia"/>
          <w:strike w:val="0"/>
          <w:color w:val="auto"/>
          <w:sz w:val="24"/>
          <w:szCs w:val="24"/>
          <w:highlight w:val="none"/>
        </w:rPr>
        <w:t xml:space="preserve">快速瞬变干扰试验</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GB/T14598</w:t>
      </w:r>
      <w:r>
        <w:rPr>
          <w:rFonts w:hint="eastAsia"/>
          <w:strike w:val="0"/>
          <w:color w:val="auto"/>
          <w:sz w:val="24"/>
          <w:szCs w:val="24"/>
          <w:highlight w:val="none"/>
        </w:rPr>
        <w:tab/>
      </w:r>
      <w:r>
        <w:rPr>
          <w:rFonts w:hint="eastAsia"/>
          <w:strike w:val="0"/>
          <w:color w:val="auto"/>
          <w:sz w:val="24"/>
          <w:szCs w:val="24"/>
          <w:highlight w:val="none"/>
        </w:rPr>
        <w:t xml:space="preserve">1MHz脉冲群干扰试验</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GB/T14598</w:t>
      </w:r>
      <w:r>
        <w:rPr>
          <w:rFonts w:hint="eastAsia"/>
          <w:strike w:val="0"/>
          <w:color w:val="auto"/>
          <w:sz w:val="24"/>
          <w:szCs w:val="24"/>
          <w:highlight w:val="none"/>
        </w:rPr>
        <w:tab/>
      </w:r>
      <w:r>
        <w:rPr>
          <w:rFonts w:hint="eastAsia"/>
          <w:strike w:val="0"/>
          <w:color w:val="auto"/>
          <w:sz w:val="24"/>
          <w:szCs w:val="24"/>
          <w:highlight w:val="none"/>
        </w:rPr>
        <w:t xml:space="preserve">静电放电试验</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DL/T720</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电力系统继电保护柜、屏通用技术条件</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DL478</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静态继电保护及安全自动装置通用技术条件</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GBl4285</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继电保护安全自动装置技术规程</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GB50065</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交流电气装置的接地设计协议</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DL/T667</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继电保护设备信息接口配套标准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DL/T5136</w:t>
      </w:r>
      <w:r>
        <w:rPr>
          <w:rFonts w:hint="eastAsia"/>
          <w:strike w:val="0"/>
          <w:color w:val="auto"/>
          <w:sz w:val="24"/>
          <w:szCs w:val="24"/>
          <w:highlight w:val="none"/>
        </w:rPr>
        <w:tab/>
      </w:r>
      <w:r>
        <w:rPr>
          <w:rFonts w:hint="eastAsia"/>
          <w:strike w:val="0"/>
          <w:color w:val="auto"/>
          <w:sz w:val="24"/>
          <w:szCs w:val="24"/>
          <w:highlight w:val="none"/>
        </w:rPr>
        <w:t xml:space="preserve">火力发电厂、变电所二次接线设计技术规程</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GB/T15145</w:t>
      </w:r>
      <w:r>
        <w:rPr>
          <w:rFonts w:hint="eastAsia"/>
          <w:strike w:val="0"/>
          <w:color w:val="auto"/>
          <w:sz w:val="24"/>
          <w:szCs w:val="24"/>
          <w:highlight w:val="none"/>
        </w:rPr>
        <w:tab/>
      </w:r>
      <w:r>
        <w:rPr>
          <w:rFonts w:hint="eastAsia"/>
          <w:strike w:val="0"/>
          <w:color w:val="auto"/>
          <w:sz w:val="24"/>
          <w:szCs w:val="24"/>
          <w:highlight w:val="none"/>
        </w:rPr>
        <w:t xml:space="preserve">微机线路保护装置通用技术条件</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GB7261</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继电器及继电保护装置基本试验方法</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GB616</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静态继电保护及保护装置的电气抗干扰试验</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GB14285</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电力系统继电保护及安全自动装置技术规程</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GB4858</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电器继电器的绝缘试验</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DL/T5137</w:t>
      </w:r>
      <w:r>
        <w:rPr>
          <w:rFonts w:hint="eastAsia"/>
          <w:strike w:val="0"/>
          <w:color w:val="auto"/>
          <w:sz w:val="24"/>
          <w:szCs w:val="24"/>
          <w:highlight w:val="none"/>
        </w:rPr>
        <w:tab/>
      </w:r>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电测量及电能计量装置设计技术规程</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GB50062</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电力装置的继电保护和自动装置设计协议</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GB50063</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电力装置的电测量仪表装置设计协议</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DL/T5153</w:t>
      </w:r>
      <w:r>
        <w:rPr>
          <w:rFonts w:hint="eastAsia"/>
          <w:strike w:val="0"/>
          <w:color w:val="auto"/>
          <w:sz w:val="24"/>
          <w:szCs w:val="24"/>
          <w:highlight w:val="none"/>
        </w:rPr>
        <w:tab/>
      </w:r>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火力发电厂厂用电设计技术规定</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抗高频干扰技术措施及高频干扰试验标准应符合DL478的规定</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辐射电磁场干扰试验应符合GB/T14598.9（IEC255-22-3）</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国际标准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IEC60255-22-1</w:t>
      </w:r>
      <w:r>
        <w:rPr>
          <w:rFonts w:hint="eastAsia"/>
          <w:strike w:val="0"/>
          <w:color w:val="auto"/>
          <w:sz w:val="24"/>
          <w:szCs w:val="24"/>
          <w:highlight w:val="none"/>
        </w:rPr>
        <w:tab/>
      </w:r>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高频干扰试验标准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IEC60255-22-2</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静电放电干扰试验标准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IEC60255-22-3</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辐射电磁场干扰试验标准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IEC60255-22-4</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快速瞬变干扰试验标准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IEC60255-21-1</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振动试验标准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IEC60255-21-2</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冲击和碰撞试验标准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IEC60255-21-3</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地震试验标准</w:t>
      </w:r>
      <w:r>
        <w:rPr>
          <w:color w:val="auto"/>
          <w:highlight w:val="none"/>
        </w:rPr>
      </w:r>
    </w:p>
    <w:p>
      <w:pPr>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US" w:eastAsia="zh-CN"/>
        </w:rPr>
        <w:t xml:space="preserve">1.1</w:t>
      </w:r>
      <w:r>
        <w:rPr>
          <w:rFonts w:hint="eastAsia"/>
          <w:strike w:val="0"/>
          <w:color w:val="auto"/>
          <w:sz w:val="24"/>
          <w:szCs w:val="24"/>
          <w:highlight w:val="none"/>
        </w:rPr>
        <w:t xml:space="preserve">.4技术条件及要求</w:t>
      </w:r>
      <w:r>
        <w:rPr>
          <w:color w:val="auto"/>
          <w:highlight w:val="none"/>
        </w:rPr>
      </w:r>
    </w:p>
    <w:p>
      <w:pPr>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US" w:eastAsia="zh-CN"/>
        </w:rPr>
        <w:t xml:space="preserve">1.1</w:t>
      </w:r>
      <w:r>
        <w:rPr>
          <w:rFonts w:hint="eastAsia"/>
          <w:strike w:val="0"/>
          <w:color w:val="auto"/>
          <w:sz w:val="24"/>
          <w:szCs w:val="24"/>
          <w:highlight w:val="none"/>
        </w:rPr>
        <w:t xml:space="preserve">.4.1使用条件</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微机综合保护装置应能在GB1094规定的环境条件下工作。</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电源系统质量</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额定电压及波动范围： </w:t>
      </w:r>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10kV ±7%；</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额定频率：</w:t>
      </w:r>
      <w:r>
        <w:rPr>
          <w:rFonts w:hint="eastAsia"/>
          <w:strike w:val="0"/>
          <w:color w:val="auto"/>
          <w:sz w:val="24"/>
          <w:szCs w:val="24"/>
          <w:highlight w:val="none"/>
        </w:rPr>
        <w:tab/>
      </w:r>
      <w:r>
        <w:rPr>
          <w:rFonts w:hint="eastAsia"/>
          <w:strike w:val="0"/>
          <w:color w:val="auto"/>
          <w:sz w:val="24"/>
          <w:szCs w:val="24"/>
          <w:highlight w:val="none"/>
        </w:rPr>
        <w:t xml:space="preserve">                50HZ</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频率偏差范围：</w:t>
      </w:r>
      <w:r>
        <w:rPr>
          <w:rFonts w:hint="eastAsia"/>
          <w:strike w:val="0"/>
          <w:color w:val="auto"/>
          <w:sz w:val="24"/>
          <w:szCs w:val="24"/>
          <w:highlight w:val="none"/>
        </w:rPr>
        <w:tab/>
      </w:r>
      <w:r>
        <w:rPr>
          <w:rFonts w:hint="eastAsia"/>
          <w:strike w:val="0"/>
          <w:color w:val="auto"/>
          <w:sz w:val="24"/>
          <w:szCs w:val="24"/>
          <w:highlight w:val="none"/>
        </w:rPr>
        <w:t xml:space="preserve">          </w:t>
      </w:r>
      <w:bookmarkStart w:id="267" w:name="_Hlk66784296"/>
      <w:r>
        <w:rPr>
          <w:rFonts w:hint="eastAsia"/>
          <w:strike w:val="0"/>
          <w:color w:val="auto"/>
          <w:sz w:val="24"/>
          <w:szCs w:val="24"/>
          <w:highlight w:val="none"/>
          <w:lang w:val="en-US" w:eastAsia="zh-CN"/>
        </w:rPr>
        <w:t xml:space="preserve">  </w:t>
      </w:r>
      <w:r>
        <w:rPr>
          <w:rFonts w:hint="eastAsia"/>
          <w:strike w:val="0"/>
          <w:color w:val="auto"/>
          <w:sz w:val="24"/>
          <w:szCs w:val="24"/>
          <w:highlight w:val="none"/>
        </w:rPr>
        <w:t xml:space="preserve">±</w:t>
      </w:r>
      <w:bookmarkEnd w:id="267"/>
      <w:r>
        <w:rPr>
          <w:rFonts w:hint="eastAsia"/>
          <w:strike w:val="0"/>
          <w:color w:val="auto"/>
          <w:sz w:val="24"/>
          <w:szCs w:val="24"/>
          <w:highlight w:val="none"/>
        </w:rPr>
        <w:t xml:space="preserve">0.5HZ</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系统短路容量(10kV母线处)：   </w:t>
      </w:r>
      <w:r>
        <w:rPr>
          <w:strike w:val="0"/>
          <w:color w:val="auto"/>
          <w:sz w:val="24"/>
          <w:szCs w:val="24"/>
          <w:highlight w:val="none"/>
        </w:rPr>
        <w:t xml:space="preserve">31.5kA</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系统型式：</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10kV:                            交流三相三线制</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系统中性点接地方式：</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10kV:                            中性点不接地（经消弧线圈接地）</w:t>
      </w:r>
      <w:r>
        <w:rPr>
          <w:color w:val="auto"/>
          <w:highlight w:val="none"/>
        </w:rPr>
      </w:r>
    </w:p>
    <w:p>
      <w:pPr>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US" w:eastAsia="zh-CN"/>
        </w:rPr>
        <w:t xml:space="preserve">1.1</w:t>
      </w:r>
      <w:r>
        <w:rPr>
          <w:rFonts w:hint="eastAsia"/>
          <w:strike w:val="0"/>
          <w:color w:val="auto"/>
          <w:sz w:val="24"/>
          <w:szCs w:val="24"/>
          <w:highlight w:val="none"/>
        </w:rPr>
        <w:t xml:space="preserve">.4.2保护装置技术要求</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输入信号参数</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额定交流电压：</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      </w:t>
      </w:r>
      <w:r>
        <w:rPr>
          <w:rFonts w:hint="eastAsia"/>
          <w:strike w:val="0"/>
          <w:color w:val="auto"/>
          <w:sz w:val="24"/>
          <w:szCs w:val="24"/>
          <w:highlight w:val="none"/>
        </w:rPr>
        <w:tab/>
      </w:r>
      <w:r>
        <w:rPr>
          <w:rFonts w:hint="eastAsia"/>
          <w:strike w:val="0"/>
          <w:color w:val="auto"/>
          <w:sz w:val="24"/>
          <w:szCs w:val="24"/>
          <w:highlight w:val="none"/>
        </w:rPr>
        <w:t xml:space="preserve">220V</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额定交流电流：</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     </w:t>
      </w:r>
      <w:r>
        <w:rPr>
          <w:rFonts w:hint="eastAsia"/>
          <w:strike w:val="0"/>
          <w:color w:val="auto"/>
          <w:sz w:val="24"/>
          <w:szCs w:val="24"/>
          <w:highlight w:val="none"/>
        </w:rPr>
        <w:tab/>
      </w:r>
      <w:r>
        <w:rPr>
          <w:rFonts w:hint="eastAsia"/>
          <w:strike w:val="0"/>
          <w:color w:val="auto"/>
          <w:sz w:val="24"/>
          <w:szCs w:val="24"/>
          <w:highlight w:val="none"/>
        </w:rPr>
        <w:t xml:space="preserve">1A</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额定直流电压：</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     </w:t>
      </w:r>
      <w:r>
        <w:rPr>
          <w:rFonts w:hint="eastAsia"/>
          <w:strike w:val="0"/>
          <w:color w:val="auto"/>
          <w:sz w:val="24"/>
          <w:szCs w:val="24"/>
          <w:highlight w:val="none"/>
        </w:rPr>
        <w:tab/>
      </w:r>
      <w:r>
        <w:rPr>
          <w:rFonts w:hint="eastAsia"/>
          <w:strike w:val="0"/>
          <w:color w:val="auto"/>
          <w:sz w:val="24"/>
          <w:szCs w:val="24"/>
          <w:highlight w:val="none"/>
        </w:rPr>
        <w:t xml:space="preserve">220V</w:t>
      </w:r>
      <w:r>
        <w:rPr>
          <w:rFonts w:hint="eastAsia"/>
          <w:strike w:val="0"/>
          <w:color w:val="auto"/>
          <w:sz w:val="24"/>
          <w:szCs w:val="24"/>
          <w:highlight w:val="none"/>
        </w:rPr>
        <w:tab/>
      </w:r>
      <w:r>
        <w:rPr>
          <w:rFonts w:hint="eastAsia"/>
          <w:strike w:val="0"/>
          <w:color w:val="auto"/>
          <w:sz w:val="24"/>
          <w:szCs w:val="24"/>
          <w:highlight w:val="none"/>
        </w:rPr>
        <w:t xml:space="preserve">允许偏差 -20%～+15% </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额定频率：</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            </w:t>
      </w:r>
      <w:r>
        <w:rPr>
          <w:rFonts w:hint="eastAsia"/>
          <w:strike w:val="0"/>
          <w:color w:val="auto"/>
          <w:sz w:val="24"/>
          <w:szCs w:val="24"/>
          <w:highlight w:val="none"/>
        </w:rPr>
        <w:tab/>
      </w:r>
      <w:r>
        <w:rPr>
          <w:rFonts w:hint="eastAsia"/>
          <w:strike w:val="0"/>
          <w:color w:val="auto"/>
          <w:sz w:val="24"/>
          <w:szCs w:val="24"/>
          <w:highlight w:val="none"/>
        </w:rPr>
        <w:t xml:space="preserve">50Hz</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功率消耗</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交流电压回路</w:t>
      </w:r>
      <w:r>
        <w:rPr>
          <w:rFonts w:hint="eastAsia"/>
          <w:strike w:val="0"/>
          <w:color w:val="auto"/>
          <w:sz w:val="24"/>
          <w:szCs w:val="24"/>
          <w:highlight w:val="none"/>
          <w:lang w:eastAsia="zh-CN"/>
        </w:rPr>
        <w:t xml:space="preserve">：</w:t>
      </w:r>
      <w:r>
        <w:rPr>
          <w:rFonts w:hint="eastAsia"/>
          <w:strike w:val="0"/>
          <w:color w:val="auto"/>
          <w:sz w:val="24"/>
          <w:szCs w:val="24"/>
          <w:highlight w:val="none"/>
        </w:rPr>
        <w:tab/>
      </w:r>
      <w:r>
        <w:rPr>
          <w:rFonts w:hint="eastAsia"/>
          <w:strike w:val="0"/>
          <w:color w:val="auto"/>
          <w:sz w:val="24"/>
          <w:szCs w:val="24"/>
          <w:highlight w:val="none"/>
        </w:rPr>
        <w:t xml:space="preserve">           当为额定电压时，每相不大于0.5VA；</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交流电流回路：         </w:t>
      </w:r>
      <w:r>
        <w:rPr>
          <w:rFonts w:hint="eastAsia"/>
          <w:strike w:val="0"/>
          <w:color w:val="auto"/>
          <w:sz w:val="24"/>
          <w:szCs w:val="24"/>
          <w:highlight w:val="none"/>
        </w:rPr>
        <w:tab/>
      </w:r>
      <w:r>
        <w:rPr>
          <w:rFonts w:hint="eastAsia"/>
          <w:strike w:val="0"/>
          <w:color w:val="auto"/>
          <w:sz w:val="24"/>
          <w:szCs w:val="24"/>
          <w:highlight w:val="none"/>
        </w:rPr>
        <w:t xml:space="preserve">当额定电流为1A时，每相不大于1VA；</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直流回路：                  正常运行时，每个保护箱逻辑回路不大于35W，开入回路每路不大于1.5W；保护动作时，每个保护箱逻辑回路不大于50W，开入回路每路不大于1.5W。</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精确工作范围</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电流：</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0.05～20 In</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电压：</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5～100 V</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频率：</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45～50 Hz</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df/dt</w:t>
      </w:r>
      <w:r>
        <w:rPr>
          <w:rFonts w:hint="eastAsia"/>
          <w:strike w:val="0"/>
          <w:color w:val="auto"/>
          <w:sz w:val="24"/>
          <w:szCs w:val="24"/>
          <w:highlight w:val="none"/>
          <w:lang w:eastAsia="zh-CN"/>
        </w:rPr>
        <w:t xml:space="preserve">:</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1</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10 Hz/s</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时间：</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0～100 s</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绝缘耐压</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交流输入对地：＞100兆欧</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直流输入对地：＞100兆欧</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信号及输出触点对地： ＞100兆欧</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开入回路对地：＞100兆欧</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耐压：各输入输出端子对地，交流回路和直流回路间，交流电流与交流电压间能承受 </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2kV/1min的工频耐压和5kV</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峰值</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标准雷电冲击波试验。</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电磁兼容性</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干扰场辐射和传导干扰辐射：满足IEC60255-25要求</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EN55022 A级</w:t>
      </w:r>
      <w:r>
        <w:rPr>
          <w:rFonts w:hint="eastAsia"/>
          <w:strike w:val="0"/>
          <w:color w:val="auto"/>
          <w:sz w:val="24"/>
          <w:szCs w:val="24"/>
          <w:highlight w:val="none"/>
          <w:lang w:eastAsia="zh-CN"/>
        </w:rPr>
        <w:t xml:space="preserve">）</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对于以电网频率运行的磁场的抗干扰性： IEC61000-4-8  </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快速脉冲群干扰 IEC60255-22-4 4级</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1MHz衰减振荡波：IEC60255-22-1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抗冲击波：IEC61000-4-5 </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静电放电  IEC60255-22-2  3级   </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工作环境</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温度：－20℃～＋55℃能正常工作</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腐蚀影响：IEC60068-2-60   C 级</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湿度、压力符合DL478</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安全性</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前面板紧固性：IEC60529     </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阻燃性：满足IEC60695-2-11规定要求 </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定值误差</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电流及电压定值误差：</w:t>
      </w:r>
      <w:r>
        <w:rPr>
          <w:rFonts w:hint="eastAsia"/>
          <w:strike w:val="0"/>
          <w:color w:val="auto"/>
          <w:sz w:val="24"/>
          <w:szCs w:val="24"/>
          <w:highlight w:val="none"/>
        </w:rPr>
        <w:tab/>
      </w:r>
      <w:r>
        <w:rPr>
          <w:rFonts w:hint="eastAsia"/>
          <w:strike w:val="0"/>
          <w:color w:val="auto"/>
          <w:sz w:val="24"/>
          <w:szCs w:val="24"/>
          <w:highlight w:val="none"/>
        </w:rPr>
        <w:t xml:space="preserve">＜±5% 整定值</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频率定值误差：</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＜0.02 Hz</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时间定值误差：</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＜±1%整定时间+40ms（延时段）</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＜±1%整定时间+50ms（重合闸）</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＜40ms±10ms（无延时段）</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df/dt误差：</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在3～10Hz/s范围内＜1Hz/s</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过载能力</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交流电流回路：</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2倍额定电流</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连续工作</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10倍额定电流</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      允许工作10s</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40倍额定电流</w:t>
      </w:r>
      <w:r>
        <w:rPr>
          <w:rFonts w:hint="eastAsia"/>
          <w:strike w:val="0"/>
          <w:color w:val="auto"/>
          <w:sz w:val="24"/>
          <w:szCs w:val="24"/>
          <w:highlight w:val="none"/>
        </w:rPr>
        <w:tab/>
      </w:r>
      <w:r>
        <w:rPr>
          <w:rFonts w:hint="eastAsia"/>
          <w:strike w:val="0"/>
          <w:color w:val="auto"/>
          <w:sz w:val="24"/>
          <w:szCs w:val="24"/>
          <w:highlight w:val="none"/>
        </w:rPr>
        <w:t xml:space="preserve">            允许工作1s</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交流电压回路：</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1.2倍额定电压</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连续工作</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直流电源回路：</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80%～110%额定电压</w:t>
      </w:r>
      <w:r>
        <w:rPr>
          <w:rFonts w:hint="eastAsia"/>
          <w:strike w:val="0"/>
          <w:color w:val="auto"/>
          <w:sz w:val="24"/>
          <w:szCs w:val="24"/>
          <w:highlight w:val="none"/>
        </w:rPr>
        <w:tab/>
      </w:r>
      <w:r>
        <w:rPr>
          <w:rFonts w:hint="eastAsia"/>
          <w:strike w:val="0"/>
          <w:color w:val="auto"/>
          <w:sz w:val="24"/>
          <w:szCs w:val="24"/>
          <w:highlight w:val="none"/>
        </w:rPr>
        <w:t xml:space="preserve">连续工作</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遥测量计量等级</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电流、电压、频率：</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0.5级</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其它：</w:t>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ab/>
      </w:r>
      <w:r>
        <w:rPr>
          <w:rFonts w:hint="eastAsia"/>
          <w:strike w:val="0"/>
          <w:color w:val="auto"/>
          <w:sz w:val="24"/>
          <w:szCs w:val="24"/>
          <w:highlight w:val="none"/>
        </w:rPr>
        <w:t xml:space="preserve">1级</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遥信分辨率：</w:t>
      </w:r>
      <w:r>
        <w:rPr>
          <w:rFonts w:hint="eastAsia"/>
          <w:strike w:val="0"/>
          <w:color w:val="auto"/>
          <w:sz w:val="24"/>
          <w:szCs w:val="24"/>
          <w:highlight w:val="none"/>
        </w:rPr>
        <w:tab/>
      </w:r>
      <w:r>
        <w:rPr>
          <w:rFonts w:hint="eastAsia"/>
          <w:strike w:val="0"/>
          <w:color w:val="auto"/>
          <w:sz w:val="24"/>
          <w:szCs w:val="24"/>
          <w:highlight w:val="none"/>
        </w:rPr>
        <w:t xml:space="preserve">        ＜ 2ms</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信号输入方式：             无源接点</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微机综合保护装置总体要求</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针对微机保护装置的设计要求和相关的技术要求，本着提供高性能、高安全性、高可靠性产品和系统的原则，提出微机综合保护装置总体要求：</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供应商应提供自己的全套保护和间隔设备。综保应具有统一的外观、设计、采购、生产及质量控制，应提供全电流和电压测量功能，提供定值整定，可根据运行需要切换定值，并提供中英文调试软件。</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组网灵活，开放性好：站内微机保护测控装置可通过RS485接口或光纤接口，并采用ModBus或IEC标准通讯规约IEC60870-5-103或IEC61850和本站监控计算机或通信管理单元（RTU或通信管理机）进行通信。高安全可靠性：采用高质量、高可靠性的微机保护装置，本站上位监控系统和通信的任何故障不会影响微机保护正常运行，微机保护装置应具有软件和硬件的自监视功能。符合IEC16850通信规约。</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具有良好的人机界面，液晶中文显示能显示完整的故障信息（故障例型，故障时间，故障值等）以方便查询。</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保护装置面板具有LED指示灯，能指示各种信号状态和报警或故障信息，该信息可由用户组态和修改。保护装置内部逻辑可以由用户编程设定。</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保护装置具有综合的自检功能。</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保护装置具有高可靠性的系统通讯接口与后台通信设备通讯。在前面板设有现场维护接口</w:t>
      </w:r>
      <w:r>
        <w:rPr>
          <w:rFonts w:hint="eastAsia"/>
          <w:strike w:val="0"/>
          <w:color w:val="auto"/>
          <w:sz w:val="24"/>
          <w:szCs w:val="24"/>
          <w:highlight w:val="none"/>
          <w:lang w:val="en-GB" w:eastAsia="zh-CN"/>
        </w:rPr>
        <w:t xml:space="preserve">（</w:t>
      </w:r>
      <w:r>
        <w:rPr>
          <w:rFonts w:hint="eastAsia"/>
          <w:strike w:val="0"/>
          <w:color w:val="auto"/>
          <w:sz w:val="24"/>
          <w:szCs w:val="24"/>
          <w:highlight w:val="none"/>
          <w:lang w:val="en-GB"/>
        </w:rPr>
        <w:t xml:space="preserve">RS232或其他</w:t>
      </w:r>
      <w:r>
        <w:rPr>
          <w:rFonts w:hint="eastAsia"/>
          <w:strike w:val="0"/>
          <w:color w:val="auto"/>
          <w:sz w:val="24"/>
          <w:szCs w:val="24"/>
          <w:highlight w:val="none"/>
          <w:lang w:val="en-GB" w:eastAsia="zh-CN"/>
        </w:rPr>
        <w:t xml:space="preserve">）</w:t>
      </w:r>
      <w:r>
        <w:rPr>
          <w:rFonts w:hint="eastAsia"/>
          <w:strike w:val="0"/>
          <w:color w:val="auto"/>
          <w:sz w:val="24"/>
          <w:szCs w:val="24"/>
          <w:highlight w:val="none"/>
          <w:lang w:val="en-GB"/>
        </w:rPr>
        <w:t xml:space="preserve">，保护装置内部逻辑可就地编程设定。</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保护测控装置直接安装在开关柜上。保护装置应为嵌入式安装，外壳防护等级前面板不低于IP51，后面板不低于IP20。</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具有良好的逻辑编程功能，能根据电流、电压的测量值及逻辑输入，完成要求的逻辑。</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为了提高综保系统的稳定性和可靠性，防止因电源系统的瞬间过电压或其他干扰信号引起微机综合保护装置的误动作，综保装置逻辑输入电压动作值定为220V AC/DC。</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微机综合保护装置通讯要求</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微机保护装置应通过通讯接口，直接和综合自动化系统的监控主机或通信管理单元通信。通信速度可设。</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微机保护装置能提供开放式标准规约，站控层本地通讯优先采用</w:t>
      </w:r>
      <w:r>
        <w:rPr>
          <w:rFonts w:hint="eastAsia"/>
          <w:strike w:val="0"/>
          <w:color w:val="auto"/>
          <w:sz w:val="24"/>
          <w:szCs w:val="24"/>
          <w:highlight w:val="none"/>
        </w:rPr>
        <w:t xml:space="preserve">ModBus RTU或</w:t>
      </w:r>
      <w:r>
        <w:rPr>
          <w:rFonts w:hint="eastAsia"/>
          <w:strike w:val="0"/>
          <w:color w:val="auto"/>
          <w:sz w:val="24"/>
          <w:szCs w:val="24"/>
          <w:highlight w:val="none"/>
          <w:lang w:val="en-GB"/>
        </w:rPr>
        <w:t xml:space="preserve">IEC60870-5-103通讯协议，站间</w:t>
      </w:r>
      <w:r>
        <w:rPr>
          <w:rFonts w:hint="eastAsia"/>
          <w:strike w:val="0"/>
          <w:color w:val="auto"/>
          <w:sz w:val="24"/>
          <w:szCs w:val="24"/>
          <w:highlight w:val="none"/>
          <w:lang w:val="en-GB" w:eastAsia="zh-CN"/>
        </w:rPr>
        <w:t xml:space="preserve">（</w:t>
      </w:r>
      <w:r>
        <w:rPr>
          <w:rFonts w:hint="eastAsia"/>
          <w:strike w:val="0"/>
          <w:color w:val="auto"/>
          <w:sz w:val="24"/>
          <w:szCs w:val="24"/>
          <w:highlight w:val="none"/>
          <w:lang w:val="en-GB"/>
        </w:rPr>
        <w:t xml:space="preserve">各装置变配电所与总变电所间</w:t>
      </w:r>
      <w:r>
        <w:rPr>
          <w:rFonts w:hint="eastAsia"/>
          <w:strike w:val="0"/>
          <w:color w:val="auto"/>
          <w:sz w:val="24"/>
          <w:szCs w:val="24"/>
          <w:highlight w:val="none"/>
          <w:lang w:val="en-GB" w:eastAsia="zh-CN"/>
        </w:rPr>
        <w:t xml:space="preserve">）</w:t>
      </w:r>
      <w:r>
        <w:rPr>
          <w:rFonts w:hint="eastAsia"/>
          <w:strike w:val="0"/>
          <w:color w:val="auto"/>
          <w:sz w:val="24"/>
          <w:szCs w:val="24"/>
          <w:highlight w:val="none"/>
          <w:lang w:val="en-GB"/>
        </w:rPr>
        <w:t xml:space="preserve">远动通讯协议优先采用IEC60870-5-104通讯协议。</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在开关柜内的所有保护继电器和控制装置应连接至站控层设备</w:t>
      </w:r>
      <w:r>
        <w:rPr>
          <w:rFonts w:hint="eastAsia"/>
          <w:strike w:val="0"/>
          <w:color w:val="auto"/>
          <w:sz w:val="24"/>
          <w:szCs w:val="24"/>
          <w:highlight w:val="none"/>
          <w:lang w:val="en-GB" w:eastAsia="zh-CN"/>
        </w:rPr>
        <w:t xml:space="preserve">（</w:t>
      </w:r>
      <w:r>
        <w:rPr>
          <w:rFonts w:hint="eastAsia"/>
          <w:strike w:val="0"/>
          <w:color w:val="auto"/>
          <w:sz w:val="24"/>
          <w:szCs w:val="24"/>
          <w:highlight w:val="none"/>
          <w:lang w:val="en-GB"/>
        </w:rPr>
        <w:t xml:space="preserve">数据集中器</w:t>
      </w:r>
      <w:r>
        <w:rPr>
          <w:rFonts w:hint="eastAsia"/>
          <w:strike w:val="0"/>
          <w:color w:val="auto"/>
          <w:sz w:val="24"/>
          <w:szCs w:val="24"/>
          <w:highlight w:val="none"/>
          <w:lang w:val="en-GB" w:eastAsia="zh-CN"/>
        </w:rPr>
        <w:t xml:space="preserve">），</w:t>
      </w:r>
      <w:r>
        <w:rPr>
          <w:rFonts w:hint="eastAsia"/>
          <w:strike w:val="0"/>
          <w:color w:val="auto"/>
          <w:sz w:val="24"/>
          <w:szCs w:val="24"/>
          <w:highlight w:val="none"/>
          <w:lang w:val="en-GB"/>
        </w:rPr>
        <w:t xml:space="preserve">单独的设备和“数据集中器”之间的通讯应采用“非专利技术协议”，模拟数据应以浮点格式进行传送。</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微机综合保护装置应能选择直流工作电源。</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在一定条件下，可以使用开放性非专利技术协议将智能保护和控制设备直接连接至电气SCADA系统或DCS系统，这样将无需使用数据集中器。</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保护测控装置功能要求</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微机保护装置应能对所有保护动作，开关量变位及通过逻辑编程功能实现的其它保护（如连锁跳闸）和自动控制（如备自投）功能形成SOE事件（包括事件发生时间、</w:t>
      </w:r>
      <w:r>
        <w:rPr>
          <w:rFonts w:hint="eastAsia"/>
          <w:strike w:val="0"/>
          <w:color w:val="auto"/>
          <w:sz w:val="24"/>
          <w:szCs w:val="24"/>
          <w:highlight w:val="none"/>
          <w:lang w:val="en-GB" w:eastAsia="zh-CN"/>
        </w:rPr>
        <w:t xml:space="preserve">事件类型</w:t>
      </w:r>
      <w:r>
        <w:rPr>
          <w:rFonts w:hint="eastAsia"/>
          <w:strike w:val="0"/>
          <w:color w:val="auto"/>
          <w:sz w:val="24"/>
          <w:szCs w:val="24"/>
          <w:highlight w:val="none"/>
          <w:lang w:val="en-GB"/>
        </w:rPr>
        <w:t xml:space="preserve">、动作值），所有SOE事件（包括保护动作，开关输入量变位事件）能通过保护装置显示面板进行查询。保护装置能保存64个以上的SOE事件，SOE事件分辨率为1ms。事件记录应包括电压、电流、输入/输出开关量等信息内容。自动实行顺序记录，并能及时处理和存储各保护的报警信息和动作信息，在主机失电时不丢失所存储信息，并能查询所存储的事件报告。</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微机保护装置应具有故障录波功能，录波的起动可设置为保护动作，开关量变位及其它通过逻辑编程形成的控制变量。录波时间应</w:t>
      </w:r>
      <w:r>
        <w:rPr>
          <w:rFonts w:hint="eastAsia"/>
          <w:strike w:val="0"/>
          <w:color w:val="auto"/>
          <w:sz w:val="24"/>
          <w:szCs w:val="24"/>
          <w:highlight w:val="none"/>
        </w:rPr>
        <w:t xml:space="preserve">完全满足电动机启动时录波跟踪的要求，并能实现故障波形的远传。</w:t>
      </w:r>
      <w:r>
        <w:rPr>
          <w:rFonts w:hint="eastAsia"/>
          <w:strike w:val="0"/>
          <w:color w:val="auto"/>
          <w:sz w:val="24"/>
          <w:szCs w:val="24"/>
          <w:highlight w:val="none"/>
          <w:lang w:val="en-GB"/>
        </w:rPr>
        <w:t xml:space="preserve">录波文件应包含所有模拟量和数字量且记录故障前时间可设，保护装置能保存的录波数据（每周波采样次数应满足保护精度要求，容量不应少于 8次，每次的录波时间不小于2秒），可调整相应的每次录波时间和次数。上述数据在装置掉电后不会丢失，并能查询其事故报告。</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微机保护装置应具有逻辑编程功能，可以用逻辑编程来实现特殊要求的控制功能，保护装置的相关元件，如开关量输入、过流元件、过压保护元件、低电压保护等元件可通过保护装置所具有的编程函数（逻辑非，或，延时等）进行编程形成新的一些符合工业现场需要的控制功能如备用电源自投，电机再起动等等。另外保护装置的开关量输入名称能根据现场实际接入的量名称进行灵活改变。</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微机保护装置利用自身内部时钟，所有的事件记录、故障记录和故障录波都带有精度达1ms的时标。保护装置应能实现精确的时钟同步。综保装置必须保证实时时钟和所有记录不会因失去电源而丢失。</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保护测控装置必须具有看门狗，而且必须能够自我监视如：本身硬件故障等。</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保护装置具有GPS对时功能，用串行口接受GPS发出的时钟，并接收GPS定时发出的硬同步对时脉冲，刷新CPU系统的秒时钟，对时误差＜1ms。</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每台保护测控装置的开关量输入输出接点容量最小导通电流不小于5A。为保证跳闸回路出口的可靠性和安全性，接点端子应采用大容量端子。</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每一台保护测控装置实现以下通讯管理功能。</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定值管理：通过口令管理系统可查询或整定CPU各保护定值。</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查询最近事故的报告。</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查询最近事故的保护动作报告。</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能通过键盘操作召唤各CPU信息，操作时要通过密码。</w:t>
      </w:r>
      <w:r>
        <w:rPr>
          <w:color w:val="auto"/>
          <w:highlight w:val="none"/>
        </w:rPr>
      </w:r>
    </w:p>
    <w:p>
      <w:pPr>
        <w:ind w:firstLine="567"/>
        <w:jc w:val="both"/>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系统接口：所有微机综合保护装置均要求可通过RS485电气接口与站控层通讯管理机相连，实现遥控、遥测、遥信、保护功能等信号均可通过通信网实时传输；通讯规约开放，文本免费向监控厂家提供；具备逻辑编程功能。</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运行数据监视：管理系统可在线以菜单形式显示各保护的输入量及计算量。</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系统调试：可通过管理系统对各保护模块进行详细调试（操作时通过密码）。</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巡回检查功能：在保护系统处于运行状态时，保护模块不断地进行自检，管理系统及时查寻并显示保护模块的自检信息，如发现自检出错立即发出报警，以便及时处理。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远方在线测试和诊断。</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保护测控装置支持以下保护信息方面的功能</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装置描述的远方查看</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装置参数的远方查看</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保护定值、区号的远方查看功能</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保护功能软压板状态的远方查看、投退</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装置保护开入状态的远方查看</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装置运行状态</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包括保护动作元件的状态和装置的自检信息</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的远方查看</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远方对装置实现信号复归</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故障录波</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包括波形数据</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上送功能</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多层次的PASSWORD：运行人员口令、保护人员口令、远动人员口令、站控</w:t>
      </w:r>
      <w:r>
        <w:rPr>
          <w:rFonts w:hint="eastAsia"/>
          <w:strike w:val="0"/>
          <w:color w:val="auto"/>
          <w:sz w:val="24"/>
          <w:szCs w:val="24"/>
          <w:highlight w:val="none"/>
          <w:lang w:val="en-GB" w:eastAsia="zh-CN"/>
        </w:rPr>
        <w:t xml:space="preserve">（</w:t>
      </w:r>
      <w:r>
        <w:rPr>
          <w:rFonts w:hint="eastAsia"/>
          <w:strike w:val="0"/>
          <w:color w:val="auto"/>
          <w:sz w:val="24"/>
          <w:szCs w:val="24"/>
          <w:highlight w:val="none"/>
          <w:lang w:val="en-GB"/>
        </w:rPr>
        <w:t xml:space="preserve">总站、分站</w:t>
      </w:r>
      <w:r>
        <w:rPr>
          <w:rFonts w:hint="eastAsia"/>
          <w:strike w:val="0"/>
          <w:color w:val="auto"/>
          <w:sz w:val="24"/>
          <w:szCs w:val="24"/>
          <w:highlight w:val="none"/>
          <w:lang w:val="en-GB" w:eastAsia="zh-CN"/>
        </w:rPr>
        <w:t xml:space="preserve">）</w:t>
      </w:r>
      <w:r>
        <w:rPr>
          <w:rFonts w:hint="eastAsia"/>
          <w:strike w:val="0"/>
          <w:color w:val="auto"/>
          <w:sz w:val="24"/>
          <w:szCs w:val="24"/>
          <w:highlight w:val="none"/>
          <w:lang w:val="en-GB"/>
        </w:rPr>
        <w:t xml:space="preserve">人员口令。</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具有保护断路器跳、合闸线圈功能，防止操作时因断路器拒动，跳、合闸线圈长时间带电而烧毁。</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操作回路自动适应现场断路器各种跳、合闸线圈电流，用户更换开关不需要改换跳、合闸电流继电器。</w:t>
      </w:r>
      <w:r>
        <w:rPr>
          <w:color w:val="auto"/>
          <w:highlight w:val="none"/>
        </w:rPr>
      </w:r>
    </w:p>
    <w:p>
      <w:pPr>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US" w:eastAsia="zh-CN"/>
        </w:rPr>
        <w:t xml:space="preserve">1.1</w:t>
      </w:r>
      <w:r>
        <w:rPr>
          <w:rFonts w:hint="eastAsia"/>
          <w:strike w:val="0"/>
          <w:color w:val="auto"/>
          <w:sz w:val="24"/>
          <w:szCs w:val="24"/>
          <w:highlight w:val="none"/>
        </w:rPr>
        <w:t xml:space="preserve">.4.3电气设备保护测控装置配置方案</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电动机的保护按国标要求考虑设置保护（两地控制，转换），车间变压器的保护考虑干式变压器的保护。</w:t>
      </w:r>
      <w:r>
        <w:rPr>
          <w:color w:val="auto"/>
          <w:highlight w:val="none"/>
        </w:rPr>
      </w:r>
    </w:p>
    <w:p>
      <w:pPr>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US" w:eastAsia="zh-CN"/>
        </w:rPr>
        <w:t xml:space="preserve">1.1</w:t>
      </w:r>
      <w:r>
        <w:rPr>
          <w:rFonts w:hint="eastAsia"/>
          <w:strike w:val="0"/>
          <w:color w:val="auto"/>
          <w:sz w:val="24"/>
          <w:szCs w:val="24"/>
          <w:highlight w:val="none"/>
        </w:rPr>
        <w:t xml:space="preserve">.4.4保护测控装置功能定义</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保护装置应至少具备下列保护功能并有相应的国内型式试验报告。</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10kV线路保护测控装置</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10kV线路保护测控装置</w:t>
      </w:r>
      <w:r>
        <w:rPr>
          <w:rFonts w:hint="eastAsia"/>
          <w:strike w:val="0"/>
          <w:color w:val="auto"/>
          <w:sz w:val="24"/>
          <w:szCs w:val="24"/>
          <w:highlight w:val="none"/>
          <w:lang w:val="en-GB" w:eastAsia="zh-CN"/>
        </w:rPr>
        <w:t xml:space="preserve">（</w:t>
      </w:r>
      <w:r>
        <w:rPr>
          <w:rFonts w:hint="eastAsia"/>
          <w:strike w:val="0"/>
          <w:color w:val="auto"/>
          <w:sz w:val="24"/>
          <w:szCs w:val="24"/>
          <w:highlight w:val="none"/>
          <w:lang w:val="en-GB"/>
        </w:rPr>
        <w:t xml:space="preserve">备自投在进线实现</w:t>
      </w:r>
      <w:r>
        <w:rPr>
          <w:rFonts w:hint="eastAsia"/>
          <w:strike w:val="0"/>
          <w:color w:val="auto"/>
          <w:sz w:val="24"/>
          <w:szCs w:val="24"/>
          <w:highlight w:val="none"/>
          <w:lang w:val="en-GB" w:eastAsia="zh-CN"/>
        </w:rPr>
        <w:t xml:space="preserve">）</w:t>
      </w:r>
      <w:r>
        <w:rPr>
          <w:rFonts w:hint="eastAsia"/>
          <w:strike w:val="0"/>
          <w:color w:val="auto"/>
          <w:sz w:val="24"/>
          <w:szCs w:val="24"/>
          <w:highlight w:val="none"/>
          <w:lang w:val="en-GB"/>
        </w:rPr>
        <w:t xml:space="preserve"> 输入的最低要求（至少共8个输入）：</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手车试验位置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手车工作位置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断路器状态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断路器储能信号（1）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允许自投（母联）（1）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手动跳闸（本段）（1）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远方/就地遥控信号（1）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本段PT位置（1）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保护测控装置主要功能</w:t>
      </w:r>
      <w:r>
        <w:rPr>
          <w:rFonts w:hint="eastAsia"/>
          <w:strike w:val="0"/>
          <w:color w:val="auto"/>
          <w:sz w:val="24"/>
          <w:szCs w:val="24"/>
          <w:highlight w:val="none"/>
          <w:lang w:val="en-GB" w:eastAsia="zh-CN"/>
        </w:rPr>
        <w:t xml:space="preserve">（</w:t>
      </w:r>
      <w:r>
        <w:rPr>
          <w:rFonts w:hint="eastAsia"/>
          <w:strike w:val="0"/>
          <w:color w:val="auto"/>
          <w:sz w:val="24"/>
          <w:szCs w:val="24"/>
          <w:highlight w:val="none"/>
          <w:lang w:val="en-GB"/>
        </w:rPr>
        <w:t xml:space="preserve">但不局限于以下功能</w:t>
      </w:r>
      <w:r>
        <w:rPr>
          <w:rFonts w:hint="eastAsia"/>
          <w:strike w:val="0"/>
          <w:color w:val="auto"/>
          <w:sz w:val="24"/>
          <w:szCs w:val="24"/>
          <w:highlight w:val="none"/>
          <w:lang w:val="en-GB" w:eastAsia="zh-CN"/>
        </w:rPr>
        <w:t xml:space="preserve">）</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光纤差动保护：动作于跳闸</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速断保护：可选择无时限、定时限速断，动作于跳闸。</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过流保护：可选择定时限、反时限过流和多种IEC标准过流曲线。</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复合电压过流保护：可以利用逻辑编程设定。</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单相接地保护。</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相平衡电流保护、过负荷保。</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断路器失灵保护、跳闸回路监视、欠流监视。</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方向接地功能：利用合成零序电压与灵敏接地保护。</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低电压保护</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逻辑编程功能：用来实现特殊要求的控制功能，保护装置的相关元件，如开关量输入、过流元件、过压保护元件、低电压保护等元件可通过保护装置所具有的编程函数（逻辑与，非，或，延时，闭锁复位逻辑门等）进行编程，形成新的一些符合工业现场需要的控制功能（如备用电源自投，电机再起动等等）。</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  电压互感器柜保护测控装置 </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PT柜设测控装置，测量母线的各个电压</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PT柜输入的最低要求（共2个输入）</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手车工作位置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PT切换信号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 变压器保护测控装置</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10kV干式变压器出线输入的最低要求（共10个输入）</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手车试验位置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手车工作位置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断路器状态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断路器储能信号（1）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接地刀状态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超温（1）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高温（1）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重瓦斯（1）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轻瓦斯（1）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保护测控装置主要功能</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但不局限于以下功能</w:t>
      </w:r>
      <w:r>
        <w:rPr>
          <w:rFonts w:hint="eastAsia"/>
          <w:strike w:val="0"/>
          <w:color w:val="auto"/>
          <w:sz w:val="24"/>
          <w:szCs w:val="24"/>
          <w:highlight w:val="none"/>
          <w:lang w:eastAsia="zh-CN"/>
        </w:rPr>
        <w:t xml:space="preserve">）</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速断保护：可选择无时限速断、带时限速断、定时限速断。</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过流保护：可选择定时限、反时限过流和多种IEC标准过流曲线。</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单相接地保护。</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变压器温度保护。</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瓦斯保护</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中压电动机保护测控装置</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GB"/>
        </w:rPr>
        <w:t xml:space="preserve">10kV电动机输入的最低要求（共10个输入）</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手车试验位置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手车工作位置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断路器状态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断路器储能信号（1）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接地刀状态 （1）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工艺连锁（1）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低电压投退（1）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禁止起动（1）</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软启动联锁</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1</w:t>
      </w:r>
      <w:r>
        <w:rPr>
          <w:rFonts w:hint="eastAsia"/>
          <w:strike w:val="0"/>
          <w:color w:val="auto"/>
          <w:sz w:val="24"/>
          <w:szCs w:val="24"/>
          <w:highlight w:val="none"/>
          <w:lang w:eastAsia="zh-CN"/>
        </w:rPr>
        <w:t xml:space="preserve">）</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励磁联锁（1）（同步电机有）</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综合保护具有主要功能</w:t>
      </w:r>
      <w:r>
        <w:rPr>
          <w:rFonts w:hint="eastAsia"/>
          <w:strike w:val="0"/>
          <w:color w:val="auto"/>
          <w:sz w:val="24"/>
          <w:szCs w:val="24"/>
          <w:highlight w:val="none"/>
          <w:lang w:eastAsia="zh-CN"/>
        </w:rPr>
        <w:t xml:space="preserve">（</w:t>
      </w:r>
      <w:r>
        <w:rPr>
          <w:rFonts w:hint="eastAsia"/>
          <w:strike w:val="0"/>
          <w:color w:val="auto"/>
          <w:sz w:val="24"/>
          <w:szCs w:val="24"/>
          <w:highlight w:val="none"/>
        </w:rPr>
        <w:t xml:space="preserve">但不局限于以下功能</w:t>
      </w:r>
      <w:r>
        <w:rPr>
          <w:rFonts w:hint="eastAsia"/>
          <w:strike w:val="0"/>
          <w:color w:val="auto"/>
          <w:sz w:val="24"/>
          <w:szCs w:val="24"/>
          <w:highlight w:val="none"/>
          <w:lang w:eastAsia="zh-CN"/>
        </w:rPr>
        <w:t xml:space="preserve">）</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速断保护：可选择无时限速断和定时限速断。</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过负荷保护：选择定时限、反时限过流和多种IEC标准过流曲线（保护代码51），同时还应有可设定的电动机热模型曲线（保护代码49），以便于根据不同电动机运行工况选择必要的保护措施。当项目中有电机提出特殊要求时，还应有可定义的反时限过流曲线。过负荷保护既要用于跳闸，又要用于合闸闭锁。</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可通过输入电机运行及停止时的冷却时间常数等参数来设定各种保护曲线，模拟出电机不同工况下发热及冷却的过程，实现相应的电动热模型保护功能，并能对冷起动及热起动分别进行保护。</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起动禁止：当电动机发热超出起动允许的热容量曲线时禁止起动。</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紧急起动功能：当需紧急起动时，热累计可复清零，实现紧急起动功能</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起动时的堵转保护功能（保护代码48）</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可在起动时禁用的运行堵转保护功能（保护代码51LR）</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启动时间过长保护</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rPr>
        <w:t xml:space="preserve">电动机方向性接地保护（用于报警或跳闸）。</w:t>
      </w:r>
      <w:r>
        <w:rPr>
          <w:color w:val="auto"/>
          <w:highlight w:val="none"/>
        </w:rPr>
      </w:r>
    </w:p>
    <w:p>
      <w:pPr>
        <w:ind w:firstLine="600"/>
        <w:keepLines w:val="0"/>
        <w:keepNext w:val="0"/>
        <w:pageBreakBefore w:val="0"/>
        <w:spacing w:line="240" w:lineRule="auto"/>
        <w:rPr>
          <w:rFonts w:hint="eastAsia"/>
          <w:strike w:val="0"/>
          <w:color w:val="auto"/>
          <w:sz w:val="24"/>
          <w:szCs w:val="24"/>
          <w:highlight w:val="none"/>
        </w:rPr>
      </w:pPr>
      <w:r>
        <w:rPr>
          <w:rFonts w:hint="eastAsia"/>
          <w:strike w:val="0"/>
          <w:color w:val="auto"/>
          <w:sz w:val="24"/>
          <w:szCs w:val="24"/>
          <w:highlight w:val="none"/>
        </w:rPr>
        <w:t xml:space="preserve">低电压保护、缺相保护、欠电流监视、起动次数保护（66）、再起动闭锁。</w:t>
      </w:r>
      <w:r>
        <w:rPr>
          <w:color w:val="auto"/>
          <w:highlight w:val="none"/>
        </w:rPr>
      </w:r>
    </w:p>
    <w:p>
      <w:pPr>
        <w:keepLines w:val="0"/>
        <w:keepNext w:val="0"/>
        <w:pageBreakBefore w:val="0"/>
        <w:spacing w:line="240" w:lineRule="auto"/>
        <w:rPr>
          <w:rFonts w:hint="eastAsia"/>
          <w:strike w:val="0"/>
          <w:color w:val="auto"/>
          <w:sz w:val="24"/>
          <w:szCs w:val="24"/>
          <w:highlight w:val="none"/>
        </w:rPr>
      </w:pPr>
      <w:r>
        <w:rPr>
          <w:rFonts w:hint="eastAsia"/>
          <w:strike w:val="0"/>
          <w:color w:val="auto"/>
          <w:sz w:val="24"/>
          <w:szCs w:val="24"/>
          <w:highlight w:val="none"/>
          <w:lang w:val="en-US" w:eastAsia="zh-CN"/>
        </w:rPr>
      </w:r>
      <w:r>
        <w:rPr>
          <w:color w:val="auto"/>
          <w:highlight w:val="none"/>
        </w:rPr>
      </w:r>
    </w:p>
    <w:p>
      <w:pPr>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US" w:eastAsia="zh-CN"/>
        </w:rPr>
        <w:t xml:space="preserve">1.2</w:t>
      </w:r>
      <w:r>
        <w:rPr>
          <w:rFonts w:hint="eastAsia"/>
          <w:strike w:val="0"/>
          <w:color w:val="auto"/>
          <w:sz w:val="24"/>
          <w:szCs w:val="24"/>
          <w:highlight w:val="none"/>
        </w:rPr>
        <w:t xml:space="preserve">电流互感器及电压互感器</w:t>
      </w:r>
      <w:r>
        <w:rPr>
          <w:color w:val="auto"/>
          <w:highlight w:val="none"/>
        </w:rPr>
      </w:r>
    </w:p>
    <w:p>
      <w:pPr>
        <w:ind w:firstLine="567"/>
        <w:keepLines w:val="0"/>
        <w:keepNext w:val="0"/>
        <w:pageBreakBefore w:val="0"/>
        <w:spacing w:line="240" w:lineRule="auto"/>
        <w:rPr>
          <w:strike w:val="0"/>
          <w:color w:val="auto"/>
          <w:sz w:val="24"/>
          <w:szCs w:val="24"/>
          <w:highlight w:val="none"/>
        </w:rPr>
      </w:pPr>
      <w:r>
        <w:rPr>
          <w:rFonts w:hint="eastAsia"/>
          <w:strike w:val="0"/>
          <w:color w:val="auto"/>
          <w:sz w:val="24"/>
          <w:szCs w:val="24"/>
          <w:highlight w:val="none"/>
          <w:lang w:val="en-US" w:eastAsia="zh-CN"/>
        </w:rPr>
        <w:t xml:space="preserve">1.2.1</w:t>
      </w:r>
      <w:r>
        <w:rPr>
          <w:rFonts w:hint="eastAsia"/>
          <w:strike w:val="0"/>
          <w:color w:val="auto"/>
          <w:sz w:val="24"/>
          <w:szCs w:val="24"/>
          <w:highlight w:val="none"/>
        </w:rPr>
        <w:t xml:space="preserve">电流互感器选用干式互感器，</w:t>
      </w:r>
      <w:r>
        <w:rPr>
          <w:rFonts w:hint="eastAsia"/>
          <w:b/>
          <w:strike w:val="0"/>
          <w:color w:val="auto"/>
          <w:sz w:val="24"/>
          <w:szCs w:val="24"/>
          <w:highlight w:val="none"/>
        </w:rPr>
        <w:t xml:space="preserve">二次侧为（5</w:t>
      </w:r>
      <w:r>
        <w:rPr>
          <w:b/>
          <w:strike w:val="0"/>
          <w:color w:val="auto"/>
          <w:sz w:val="24"/>
          <w:szCs w:val="24"/>
          <w:highlight w:val="none"/>
        </w:rPr>
        <w:t xml:space="preserve">A</w:t>
      </w:r>
      <w:r>
        <w:rPr>
          <w:rFonts w:hint="eastAsia"/>
          <w:b/>
          <w:strike w:val="0"/>
          <w:color w:val="auto"/>
          <w:sz w:val="24"/>
          <w:szCs w:val="24"/>
          <w:highlight w:val="none"/>
        </w:rPr>
        <w:t xml:space="preserve">）业主确认（系统一次图）。</w:t>
      </w:r>
      <w:r>
        <w:rPr>
          <w:rFonts w:hint="eastAsia"/>
          <w:strike w:val="0"/>
          <w:color w:val="auto"/>
          <w:sz w:val="24"/>
          <w:szCs w:val="24"/>
          <w:highlight w:val="none"/>
        </w:rPr>
        <w:t xml:space="preserve">二次绕组额定容量：5P20级20VA，0.2S、0.5级 20VA。</w:t>
      </w:r>
      <w:r>
        <w:rPr>
          <w:rFonts w:hint="eastAsia" w:ascii="宋体" w:hAnsi="宋体"/>
          <w:strike w:val="0"/>
          <w:color w:val="auto"/>
          <w:sz w:val="24"/>
          <w:szCs w:val="24"/>
          <w:highlight w:val="none"/>
        </w:rPr>
        <w:t xml:space="preserve">电流互感器的布置应便于维护和检修，零序电流互感器应布置在开关柜内电缆出线处，电流互感器厂家最终由买方确定。</w:t>
      </w:r>
      <w:r>
        <w:rPr>
          <w:color w:val="auto"/>
          <w:highlight w:val="none"/>
        </w:rPr>
      </w:r>
    </w:p>
    <w:p>
      <w:pPr>
        <w:ind w:firstLine="567"/>
        <w:keepLines w:val="0"/>
        <w:keepNext w:val="0"/>
        <w:pageBreakBefore w:val="0"/>
        <w:spacing w:line="240" w:lineRule="auto"/>
        <w:rPr>
          <w:rFonts w:hint="eastAsia"/>
          <w:strike w:val="0"/>
          <w:color w:val="auto"/>
          <w:sz w:val="24"/>
          <w:szCs w:val="24"/>
          <w:highlight w:val="none"/>
        </w:rPr>
      </w:pPr>
      <w:r>
        <w:rPr>
          <w:rFonts w:hint="eastAsia"/>
          <w:strike w:val="0"/>
          <w:color w:val="auto"/>
          <w:sz w:val="24"/>
          <w:szCs w:val="24"/>
          <w:highlight w:val="none"/>
          <w:lang w:val="en-US" w:eastAsia="zh-CN"/>
        </w:rPr>
        <w:t xml:space="preserve">1.2.2</w:t>
      </w:r>
      <w:r>
        <w:rPr>
          <w:rFonts w:hint="eastAsia"/>
          <w:strike w:val="0"/>
          <w:color w:val="auto"/>
          <w:sz w:val="24"/>
          <w:szCs w:val="24"/>
          <w:highlight w:val="none"/>
        </w:rPr>
        <w:t xml:space="preserve">电流互感器应满足系统短路动热稳定要求。</w:t>
      </w:r>
      <w:r>
        <w:rPr>
          <w:color w:val="auto"/>
          <w:highlight w:val="none"/>
        </w:rPr>
      </w:r>
    </w:p>
    <w:p>
      <w:pPr>
        <w:jc w:val="center"/>
        <w:keepLines w:val="0"/>
        <w:keepNext w:val="0"/>
        <w:pageBreakBefore w:val="0"/>
        <w:spacing w:line="24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r>
      <w:r>
        <w:rPr>
          <w:color w:val="auto"/>
          <w:highlight w:val="none"/>
        </w:rPr>
      </w:r>
    </w:p>
    <w:p>
      <w:pPr>
        <w:jc w:val="center"/>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低压开关柜</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2.1</w:t>
      </w:r>
      <w:r>
        <w:rPr>
          <w:rFonts w:hint="eastAsia" w:ascii="宋体" w:hAnsi="宋体" w:eastAsia="宋体" w:cs="宋体"/>
          <w:b w:val="0"/>
          <w:bCs/>
          <w:color w:val="auto"/>
          <w:sz w:val="24"/>
          <w:szCs w:val="24"/>
          <w:highlight w:val="none"/>
        </w:rPr>
        <w:t xml:space="preserve">低压开关柜的总体要求及参数要求</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低压柜基本参数要求</w:t>
      </w:r>
      <w:r>
        <w:rPr>
          <w:color w:val="auto"/>
          <w:highlight w:val="none"/>
        </w:rPr>
      </w:r>
    </w:p>
    <w:tbl>
      <w:tblPr>
        <w:tblStyle w:val="7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3188"/>
        <w:gridCol w:w="4120"/>
      </w:tblGrid>
      <w:tr>
        <w:trPr>
          <w:jc w:val="center"/>
        </w:trPr>
        <w:tc>
          <w:tcPr>
            <w:tcW w:w="769"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rPr>
                <w:color w:val="auto"/>
                <w:highlight w:val="none"/>
              </w:rPr>
            </w:r>
          </w:p>
        </w:tc>
        <w:tc>
          <w:tcPr>
            <w:tcW w:w="3188"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w:t>
            </w:r>
            <w:r>
              <w:rPr>
                <w:color w:val="auto"/>
                <w:highlight w:val="none"/>
              </w:rPr>
            </w:r>
          </w:p>
        </w:tc>
        <w:tc>
          <w:tcPr>
            <w:tcW w:w="4120"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参数</w:t>
            </w:r>
            <w:r>
              <w:rPr>
                <w:color w:val="auto"/>
                <w:highlight w:val="none"/>
              </w:rPr>
            </w:r>
          </w:p>
        </w:tc>
      </w:tr>
      <w:tr>
        <w:trPr>
          <w:jc w:val="center"/>
        </w:trPr>
        <w:tc>
          <w:tcPr>
            <w:tcW w:w="769"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color w:val="auto"/>
                <w:highlight w:val="none"/>
              </w:rPr>
            </w:r>
          </w:p>
        </w:tc>
        <w:tc>
          <w:tcPr>
            <w:tcW w:w="3188"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额定电压</w:t>
            </w:r>
            <w:r>
              <w:rPr>
                <w:color w:val="auto"/>
                <w:highlight w:val="none"/>
              </w:rPr>
            </w:r>
          </w:p>
        </w:tc>
        <w:tc>
          <w:tcPr>
            <w:tcW w:w="4120"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400V</w:t>
            </w:r>
            <w:r>
              <w:rPr>
                <w:color w:val="auto"/>
                <w:highlight w:val="none"/>
              </w:rPr>
            </w:r>
          </w:p>
        </w:tc>
      </w:tr>
      <w:tr>
        <w:trPr>
          <w:jc w:val="center"/>
        </w:trPr>
        <w:tc>
          <w:tcPr>
            <w:tcW w:w="769"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color w:val="auto"/>
                <w:highlight w:val="none"/>
              </w:rPr>
            </w:r>
          </w:p>
        </w:tc>
        <w:tc>
          <w:tcPr>
            <w:tcW w:w="3188"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额定绝缘电压</w:t>
            </w:r>
            <w:r>
              <w:rPr>
                <w:color w:val="auto"/>
                <w:highlight w:val="none"/>
              </w:rPr>
            </w:r>
          </w:p>
        </w:tc>
        <w:tc>
          <w:tcPr>
            <w:tcW w:w="4120"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690V</w:t>
            </w:r>
            <w:r>
              <w:rPr>
                <w:color w:val="auto"/>
                <w:highlight w:val="none"/>
              </w:rPr>
            </w:r>
          </w:p>
        </w:tc>
      </w:tr>
      <w:tr>
        <w:trPr>
          <w:jc w:val="center"/>
        </w:trPr>
        <w:tc>
          <w:tcPr>
            <w:tcW w:w="769"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color w:val="auto"/>
                <w:highlight w:val="none"/>
              </w:rPr>
            </w:r>
          </w:p>
        </w:tc>
        <w:tc>
          <w:tcPr>
            <w:tcW w:w="3188"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主母线额定短时耐受电流</w:t>
            </w:r>
            <w:r>
              <w:rPr>
                <w:color w:val="auto"/>
                <w:highlight w:val="none"/>
              </w:rPr>
            </w:r>
          </w:p>
        </w:tc>
        <w:tc>
          <w:tcPr>
            <w:tcW w:w="4120"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kA</w:t>
            </w:r>
            <w:r>
              <w:rPr>
                <w:color w:val="auto"/>
                <w:highlight w:val="none"/>
              </w:rPr>
            </w:r>
          </w:p>
        </w:tc>
      </w:tr>
      <w:tr>
        <w:trPr>
          <w:jc w:val="center"/>
        </w:trPr>
        <w:tc>
          <w:tcPr>
            <w:tcW w:w="769"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color w:val="auto"/>
                <w:highlight w:val="none"/>
              </w:rPr>
            </w:r>
          </w:p>
        </w:tc>
        <w:tc>
          <w:tcPr>
            <w:tcW w:w="3188"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配电母线额定短时耐受电流</w:t>
            </w:r>
            <w:r>
              <w:rPr>
                <w:color w:val="auto"/>
                <w:highlight w:val="none"/>
              </w:rPr>
            </w:r>
          </w:p>
        </w:tc>
        <w:tc>
          <w:tcPr>
            <w:tcW w:w="4120"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50kA</w:t>
            </w:r>
            <w:r>
              <w:rPr>
                <w:color w:val="auto"/>
                <w:highlight w:val="none"/>
              </w:rPr>
            </w:r>
          </w:p>
        </w:tc>
      </w:tr>
      <w:tr>
        <w:trPr>
          <w:jc w:val="center"/>
        </w:trPr>
        <w:tc>
          <w:tcPr>
            <w:tcW w:w="769"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color w:val="auto"/>
                <w:highlight w:val="none"/>
              </w:rPr>
            </w:r>
          </w:p>
        </w:tc>
        <w:tc>
          <w:tcPr>
            <w:tcW w:w="3188"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频率</w:t>
            </w:r>
            <w:r>
              <w:rPr>
                <w:color w:val="auto"/>
                <w:highlight w:val="none"/>
              </w:rPr>
            </w:r>
          </w:p>
        </w:tc>
        <w:tc>
          <w:tcPr>
            <w:tcW w:w="4120"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50Hz</w:t>
            </w:r>
            <w:r>
              <w:rPr>
                <w:color w:val="auto"/>
                <w:highlight w:val="none"/>
              </w:rPr>
            </w:r>
          </w:p>
        </w:tc>
      </w:tr>
      <w:tr>
        <w:trPr>
          <w:jc w:val="center"/>
        </w:trPr>
        <w:tc>
          <w:tcPr>
            <w:tcW w:w="769"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color w:val="auto"/>
                <w:highlight w:val="none"/>
              </w:rPr>
            </w:r>
          </w:p>
        </w:tc>
        <w:tc>
          <w:tcPr>
            <w:tcW w:w="3188"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外壳防护等级</w:t>
            </w:r>
            <w:r>
              <w:rPr>
                <w:color w:val="auto"/>
                <w:highlight w:val="none"/>
              </w:rPr>
            </w:r>
          </w:p>
        </w:tc>
        <w:tc>
          <w:tcPr>
            <w:tcW w:w="4120" w:type="dxa"/>
            <w:vAlign w:val="center"/>
            <w:textDirection w:val="lrTb"/>
            <w:noWrap w:val="false"/>
          </w:tcPr>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IP4</w:t>
            </w:r>
            <w:r>
              <w:rPr>
                <w:rFonts w:hint="eastAsia" w:ascii="宋体" w:hAnsi="宋体" w:eastAsia="宋体" w:cs="宋体"/>
                <w:b w:val="0"/>
                <w:bCs/>
                <w:color w:val="auto"/>
                <w:sz w:val="24"/>
                <w:szCs w:val="24"/>
                <w:highlight w:val="none"/>
                <w:lang w:val="en-US" w:eastAsia="zh-CN"/>
              </w:rPr>
              <w:t xml:space="preserve">X</w:t>
            </w:r>
            <w:r>
              <w:rPr>
                <w:color w:val="auto"/>
                <w:highlight w:val="none"/>
              </w:rPr>
            </w:r>
          </w:p>
        </w:tc>
      </w:tr>
    </w:tbl>
    <w:p>
      <w:pPr>
        <w:numPr>
          <w:ilvl w:val="0"/>
          <w:numId w:val="0"/>
        </w:numPr>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2.2低压开关柜的总体结构</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低压开关柜须采用标准型</w:t>
      </w:r>
      <w:r>
        <w:rPr>
          <w:rFonts w:hint="eastAsia" w:ascii="宋体" w:hAnsi="宋体" w:eastAsia="宋体" w:cs="宋体"/>
          <w:b w:val="0"/>
          <w:bCs/>
          <w:color w:val="auto"/>
          <w:sz w:val="24"/>
          <w:szCs w:val="24"/>
          <w:highlight w:val="none"/>
          <w:lang w:val="en-US" w:eastAsia="zh-CN"/>
        </w:rPr>
        <w:t xml:space="preserve">MNS</w:t>
      </w:r>
      <w:r>
        <w:rPr>
          <w:rFonts w:hint="eastAsia" w:ascii="宋体" w:hAnsi="宋体" w:eastAsia="宋体" w:cs="宋体"/>
          <w:b w:val="0"/>
          <w:bCs/>
          <w:color w:val="auto"/>
          <w:sz w:val="24"/>
          <w:szCs w:val="24"/>
          <w:highlight w:val="none"/>
        </w:rPr>
        <w:t xml:space="preserve">抽屉式柜，开关柜外形应平整美观，壳体由刚性框架组成，框架结构件应采用2.0mm 厚的热镀锌钢板或覆铝锌钢板，通过采用新工艺的自攻螺钉连接，组成独立固定结构，要求门板和骨架钢板结实可靠，开关柜应有足够的机械强度，以保证元件安装后及操作时无摇晃、不变形。柜体表面冷板采用喷涂工艺，涂层厚度和附着力要求应符合相关标准，颜色采用RAL7032。</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开关柜内的每个柜体分隔为三大区域，即水平线区、功能单元区及电线区。一次、二次回路线采用线槽方式布线，且强弱电线路采用不同的强弱电线槽布线。</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低压开关柜的设计应包括功能单元，控制保护以及仪表设备，对每个装置留有适当的空间便于进线和出线电缆的接线、扩展、固定件的维修及部分组件的调换，还要考虑到今后的调试和安装。</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低压开关柜在最大短路故障时应能承受由此引起的电气、热及机械应力。在故障条件下所产生的气体通过压力释放口排放，压力释放口的位置不允许朝向操作人员。</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为防止燃弧外溢伤及操作人员生命安全、防止各功能单元间燃弧传播、防止单柜燃弧故障波及整排配电设备，要求开关柜应具有内部燃弧故障耐受能力。</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固定式开关柜中框架断路器柜采用抽出式本体，而抽屉式开关柜要求整体抽屉式，包括不限于断路器，互感器，等所有一次元件和二次元件都可以整体包含在一个抽屉单元中，方便维修和使用。可前后开门检修，柜体做成易于吊运及易于铲入底部运输的形式。低压开关柜柜内每个装置应连续运行，其防护等级应符合GB要求的IP4X，柜体做成易于吊运及易于铲入底部运输的形式。每个开关柜的主母线室、支母线室、功能单元室和电缆室以及功能单元室之间均应严格分隔，卖方应保证当一个回路单元发生故障时，电弧不会扩展而影响其它单元。</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低压开关柜应是覆铝锌钢板结构，以铆钉、螺栓结合成坚固的一体。柜内部零部件尺寸、隔室尺寸实行模数化，同一规格的开关应具有良好的互换性和通用性，每个分隔内只能装一个回路。</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组件板、门、罩子和饰框的总装配应平滑、嵌装和无波纹出现，应提供所必须的肋和支架以减小撞击，保证功能单元装配既整齐又牢固。</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应避免出现未经加工的毛边，角和边缘都应是园角形，焊接处和接地处要平滑，不允许出现裂缝接点和断裂。</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曲拐、手柄、表计和附件的切割应锐利、干净、切到设备的边缘，门应装有铰链和锁，铰链之间最大距离不超过600mm，装有设备的门不应由于重量或大小而引起下垂。</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可移动的门和饰框应安装在铰链、销子或托架上，并且采用工具或钥匙操作的紧固件来固定。门的接地采用铜编织带的软连接。</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为确保操作程序以及维修时的人身安全，低压开关柜应具有但不限于以下联锁功能：</w:t>
      </w:r>
      <w:r>
        <w:rPr>
          <w:color w:val="auto"/>
          <w:highlight w:val="none"/>
        </w:rPr>
      </w:r>
    </w:p>
    <w:p>
      <w:pPr>
        <w:numPr>
          <w:ilvl w:val="0"/>
          <w:numId w:val="5"/>
        </w:numPr>
        <w:ind w:left="980" w:hanging="420"/>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二个进线单元的主开关与母联开关的操作相互联锁，任何情况下三个开关只能合上二个，采用机械和电气联锁。</w:t>
      </w:r>
      <w:r>
        <w:rPr>
          <w:color w:val="auto"/>
          <w:highlight w:val="none"/>
        </w:rPr>
      </w:r>
    </w:p>
    <w:p>
      <w:pPr>
        <w:numPr>
          <w:ilvl w:val="0"/>
          <w:numId w:val="5"/>
        </w:numPr>
        <w:ind w:left="980" w:hanging="420"/>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馈电单元与单元门须设置机械联锁，当开关处于分断位置，门才能打开，否则门不得打开。</w:t>
      </w:r>
      <w:r>
        <w:rPr>
          <w:color w:val="auto"/>
          <w:highlight w:val="none"/>
        </w:rPr>
      </w:r>
    </w:p>
    <w:p>
      <w:pPr>
        <w:numPr>
          <w:ilvl w:val="0"/>
          <w:numId w:val="5"/>
        </w:numPr>
        <w:ind w:left="980" w:hanging="420"/>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只有在主开关处于分断位置时，功能单元才能抽出或插入。</w:t>
      </w:r>
      <w:r>
        <w:rPr>
          <w:color w:val="auto"/>
          <w:highlight w:val="none"/>
        </w:rPr>
      </w:r>
    </w:p>
    <w:p>
      <w:pPr>
        <w:numPr>
          <w:ilvl w:val="0"/>
          <w:numId w:val="5"/>
        </w:numPr>
        <w:ind w:left="980" w:hanging="420"/>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为防止未经允许的操作，主开关的操作机构应能使用挂锁，将主开关锁在分断位置。</w:t>
      </w:r>
      <w:r>
        <w:rPr>
          <w:color w:val="auto"/>
          <w:highlight w:val="none"/>
        </w:rPr>
      </w:r>
    </w:p>
    <w:p>
      <w:pPr>
        <w:numPr>
          <w:ilvl w:val="0"/>
          <w:numId w:val="5"/>
        </w:numPr>
        <w:ind w:left="980" w:hanging="420"/>
        <w:keepLines w:val="0"/>
        <w:keepNext w:val="0"/>
        <w:pageBreakBefore w:val="0"/>
        <w:spacing w:line="24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当特殊需要时，可设置一个解锁机构，以便主开关处于接通位置时也能将门打</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低压开关柜内的主回路</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低压开关柜内应供有进线、出线的主回路，功能单元之间的相互联接，主回路系统应根据要求是母排或电缆，适应每个装置的额定电压、额定电流、经济电流密度和最大故障条件。</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1）母排</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母排系统应符合GB要求并且全封闭在低压开关柜的顶部分舱内。低压开关柜内的主母线和配电母线材料 采用T2级铜排。母排安全距离符合开关柜的工作电压。母排的截面在整个长度内应均匀，其截面应能承载连续的负载电流。母排的接点应确保有效的导电和牢固连接，母排的夹紧螺栓应采用8.8级。母排不应由功能单元支撑，支持母排的绝缘子或其它材料应有合格的性能，以适应机械及电气的要求。</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三相母排分别为A、B、C，相色分别为黄色，绿色，红色。</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color w:val="auto"/>
          <w:highlight w:val="none"/>
        </w:rPr>
      </w:r>
      <w:bookmarkStart w:id="268" w:name="OLE_LINK25"/>
      <w:r>
        <w:rPr>
          <w:rFonts w:hint="eastAsia" w:ascii="宋体" w:hAnsi="宋体" w:eastAsia="宋体" w:cs="宋体"/>
          <w:b w:val="0"/>
          <w:bCs/>
          <w:color w:val="auto"/>
          <w:sz w:val="24"/>
          <w:szCs w:val="24"/>
          <w:highlight w:val="none"/>
        </w:rPr>
        <w:t xml:space="preserve">A、B、C</w:t>
      </w:r>
      <w:bookmarkEnd w:id="268"/>
      <w:r>
        <w:rPr>
          <w:rFonts w:hint="eastAsia" w:ascii="宋体" w:hAnsi="宋体" w:eastAsia="宋体" w:cs="宋体"/>
          <w:b w:val="0"/>
          <w:bCs/>
          <w:color w:val="auto"/>
          <w:sz w:val="24"/>
          <w:szCs w:val="24"/>
          <w:highlight w:val="none"/>
        </w:rPr>
        <w:t xml:space="preserve">三相母排的排列应该是：</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上下布置，由上而下排列为A、B、C相。</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水平布置，由柜后向柜前排列为A、B、C相。</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引下线布置，由左至右排列为A、B、C相。</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低压开关柜母排的排列应便于电缆连接，检查及维修。为便于低压柜拓展，母排的终端应钻孔，并支撑，以能承受故障条件。</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2）电缆</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电缆应是交联阻燃聚乙烯绝缘硬拉的高导电的多股铜芯线，符合GB的有关标准。电缆应整齐地排列和牢固地支撑以承受指定的故障条件。</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3）中性和接地母排</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提供满足系统要求的中性和接地母排，上述母排要具体要求满足图纸要求。</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4）色标</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在低压开关柜内的铜排采用1kV黄绿红热缩套管。</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2.4</w:t>
      </w:r>
      <w:r>
        <w:rPr>
          <w:rFonts w:hint="eastAsia" w:ascii="宋体" w:hAnsi="宋体" w:eastAsia="宋体" w:cs="宋体"/>
          <w:b w:val="0"/>
          <w:bCs/>
          <w:color w:val="auto"/>
          <w:sz w:val="24"/>
          <w:szCs w:val="24"/>
          <w:highlight w:val="none"/>
        </w:rPr>
        <w:t xml:space="preserve">低压开关柜内的辅助导线及功能单元</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1）低压开关柜内的辅助导线</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连接控制、保护及仪表设备的小线，电流回路应为截面不小于2.5mm2的多股铜导线，其它回路应为截面不小于1.5 mm2的多股铜导线，绝缘等级为0.75kV。</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辅助导线必须有单独的通道，不得敷设在母线仓内。柜内小线应整齐地排列夹紧，并安装在单独的小室内。所有不与主回路连接的小线应采用同一种醒目的颜色并在端子处具有持久的标记符合IEC和GB要求。每一功能单元或组件的柜内外小线必须在端子排上接口，带电的端子应标识以示安全，柜内留有25%的备用端子，每根导线将固定在专用的端子上，复式端子利用连接片，每项设备将从公共的中性排上单独引出一根中性线。</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2）低压开关柜的功能单元</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安装在低压开关柜内的设备应根据附图选择相应用途并指出在工作条件下卖方保证的所需性能或性能范围。所有设备应为新颖的，具有同类产品的一流质量，产品应由专业厂生产，保证质量且符合产品的合格额定值要求。所有设备在安装及运行后应具有标记牌，标记牌上应说明容量，操作特性，型式及序号。工作成为一体的装置应选用相似的设备，不允许有不必要复杂接口的设备。进线及出线功能单元应适合所需的额定电压、电流、寿命、开关容量及短路故障容量。并结合所需的操作特点、辅件、联锁等。</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2.5</w:t>
      </w:r>
      <w:r>
        <w:rPr>
          <w:rFonts w:hint="eastAsia" w:ascii="宋体" w:hAnsi="宋体" w:eastAsia="宋体" w:cs="宋体"/>
          <w:b w:val="0"/>
          <w:bCs/>
          <w:color w:val="auto"/>
          <w:sz w:val="24"/>
          <w:szCs w:val="24"/>
          <w:highlight w:val="none"/>
        </w:rPr>
        <w:t xml:space="preserve">低压开关柜内主要元器件</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1）低压框架断路器</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低压框架断路器，带有智能型保护装置，应按GB的要求设计与制造并符合每台低压开关柜的操作要求。</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本项目框架断路器需满足以下基本技术及参数要求：</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框架断路器采用四级抽屉式框架。</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框架断路器额定绝缘电压：1250V。</w:t>
      </w:r>
      <w:r>
        <w:rPr>
          <w:color w:val="auto"/>
          <w:highlight w:val="none"/>
        </w:rPr>
      </w:r>
    </w:p>
    <w:p>
      <w:pPr>
        <w:jc w:val="both"/>
        <w:keepLines w:val="0"/>
        <w:keepNext w:val="0"/>
        <w:pageBreakBefore w:val="0"/>
        <w:spacing w:line="240" w:lineRule="auto"/>
        <w:rPr>
          <w:rFonts w:hint="eastAsia" w:ascii="宋体" w:hAnsi="宋体" w:eastAsia="宋体" w:cs="宋体"/>
          <w:b w:val="0"/>
          <w:bCs/>
          <w:color w:val="auto"/>
          <w:sz w:val="24"/>
          <w:szCs w:val="24"/>
          <w:highlight w:val="none"/>
        </w:rPr>
      </w:pPr>
      <w:r>
        <w:rPr>
          <w:color w:val="auto"/>
          <w:highlight w:val="none"/>
        </w:rPr>
      </w:r>
      <w:bookmarkStart w:id="269" w:name="OLE_LINK33"/>
      <w:r>
        <w:rPr>
          <w:rFonts w:hint="eastAsia" w:ascii="宋体" w:hAnsi="宋体" w:eastAsia="宋体" w:cs="宋体"/>
          <w:b w:val="0"/>
          <w:bCs/>
          <w:color w:val="auto"/>
          <w:sz w:val="24"/>
          <w:szCs w:val="24"/>
          <w:highlight w:val="none"/>
        </w:rPr>
        <w:t xml:space="preserve">框架断路器</w:t>
      </w:r>
      <w:bookmarkEnd w:id="269"/>
      <w:r>
        <w:rPr>
          <w:rFonts w:hint="eastAsia" w:ascii="宋体" w:hAnsi="宋体" w:eastAsia="宋体" w:cs="宋体"/>
          <w:b w:val="0"/>
          <w:bCs/>
          <w:color w:val="auto"/>
          <w:sz w:val="24"/>
          <w:szCs w:val="24"/>
          <w:highlight w:val="none"/>
        </w:rPr>
        <w:t xml:space="preserve">：要求有</w:t>
      </w:r>
      <w:r>
        <w:rPr>
          <w:rFonts w:hint="eastAsia" w:ascii="宋体" w:hAnsi="宋体" w:eastAsia="宋体" w:cs="宋体"/>
          <w:b w:val="0"/>
          <w:bCs/>
          <w:color w:val="auto"/>
          <w:sz w:val="24"/>
          <w:szCs w:val="24"/>
          <w:highlight w:val="none"/>
          <w:lang w:val="en-US" w:eastAsia="zh-CN"/>
        </w:rPr>
        <w:t xml:space="preserve">电气寿命达到6000次，</w:t>
      </w:r>
      <w:r>
        <w:rPr>
          <w:rFonts w:hint="eastAsia" w:ascii="宋体" w:hAnsi="宋体" w:eastAsia="宋体" w:cs="宋体"/>
          <w:b w:val="0"/>
          <w:bCs/>
          <w:color w:val="auto"/>
          <w:sz w:val="24"/>
          <w:szCs w:val="24"/>
          <w:highlight w:val="none"/>
        </w:rPr>
        <w:t xml:space="preserve">免维护机械寿命达到</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000次。</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满足图纸设计框架断路器机械连锁采用三锁两钥匙方式。</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color w:val="auto"/>
          <w:highlight w:val="none"/>
        </w:rPr>
      </w:r>
      <w:bookmarkStart w:id="270" w:name="_Hlk190503695"/>
      <w:r>
        <w:rPr>
          <w:rFonts w:hint="eastAsia" w:ascii="宋体" w:hAnsi="宋体" w:eastAsia="宋体" w:cs="宋体"/>
          <w:b w:val="0"/>
          <w:bCs/>
          <w:color w:val="auto"/>
          <w:sz w:val="24"/>
          <w:szCs w:val="24"/>
          <w:highlight w:val="none"/>
        </w:rPr>
        <w:t xml:space="preserve">框架断路器控制器采用数码管屏幕界面，数据显示清晰直观。控制器内置RS485接口、蓝牙和4G通讯功能.无需外置附件, 控制器自带通讯指示灯,方便用户实时查看通讯状态。</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具有热记忆功能，过载预报警功能，区域联锁功能，MCR保护功能，电流不平衡保护功能，欠压、过压和电压不平衡保护，相序保护，需用功率保护，负载监控等功能可选。</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配置健康测试功能：故障脱扣测试；对开关触头、剩余电气寿命等进行预测；每台断路器以抽出方式允许在隔离条件下调换、试验及维修。抽屉应联锁防止断路器在闭合位置时推拉并允许安全试验及维修。</w:t>
      </w:r>
      <w:bookmarkEnd w:id="270"/>
      <w:r>
        <w:rPr>
          <w:color w:val="auto"/>
          <w:highlight w:val="none"/>
        </w:rPr>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2）低压塑壳断路器</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为便于开关电器的上下级保护配合和方便管理，本项目低压塑壳断路器需与框架断路器品牌保持一致。</w:t>
      </w:r>
      <w:r>
        <w:rPr>
          <w:color w:val="auto"/>
          <w:highlight w:val="none"/>
        </w:rPr>
      </w:r>
    </w:p>
    <w:p>
      <w:pPr>
        <w:jc w:val="both"/>
        <w:keepLines w:val="0"/>
        <w:keepNext w:val="0"/>
        <w:pageBreakBefore w:val="0"/>
        <w:spacing w:line="240" w:lineRule="auto"/>
        <w:rPr>
          <w:rFonts w:hint="eastAsia" w:ascii="宋体" w:hAnsi="宋体" w:eastAsia="宋体" w:cs="宋体"/>
          <w:b w:val="0"/>
          <w:bCs/>
          <w:color w:val="auto"/>
          <w:sz w:val="24"/>
          <w:szCs w:val="24"/>
          <w:highlight w:val="none"/>
        </w:rPr>
      </w:pPr>
      <w:r>
        <w:rPr>
          <w:color w:val="auto"/>
          <w:highlight w:val="none"/>
        </w:rPr>
      </w:r>
      <w:bookmarkStart w:id="271" w:name="_Hlk203065419"/>
      <w:r>
        <w:rPr>
          <w:rFonts w:hint="eastAsia" w:ascii="宋体" w:hAnsi="宋体" w:eastAsia="宋体" w:cs="宋体"/>
          <w:b w:val="0"/>
          <w:bCs/>
          <w:color w:val="auto"/>
          <w:sz w:val="24"/>
          <w:szCs w:val="24"/>
          <w:highlight w:val="none"/>
        </w:rPr>
        <w:t xml:space="preserve">塑壳断路器</w:t>
      </w:r>
      <w:bookmarkEnd w:id="271"/>
      <w:r>
        <w:rPr>
          <w:rFonts w:hint="eastAsia" w:ascii="宋体" w:hAnsi="宋体" w:eastAsia="宋体" w:cs="宋体"/>
          <w:b w:val="0"/>
          <w:bCs/>
          <w:color w:val="auto"/>
          <w:sz w:val="24"/>
          <w:szCs w:val="24"/>
          <w:highlight w:val="none"/>
        </w:rPr>
        <w:t xml:space="preserve">：要求</w:t>
      </w:r>
      <w:r>
        <w:rPr>
          <w:rFonts w:hint="eastAsia" w:ascii="宋体" w:hAnsi="宋体" w:eastAsia="宋体" w:cs="宋体"/>
          <w:b w:val="0"/>
          <w:bCs/>
          <w:color w:val="auto"/>
          <w:sz w:val="24"/>
          <w:szCs w:val="24"/>
          <w:highlight w:val="none"/>
          <w:lang w:val="en-US" w:eastAsia="zh-CN"/>
        </w:rPr>
        <w:t xml:space="preserve">电气寿命达到7000次</w:t>
      </w:r>
      <w:r>
        <w:rPr>
          <w:rFonts w:hint="eastAsia" w:ascii="宋体" w:hAnsi="宋体" w:eastAsia="宋体" w:cs="宋体"/>
          <w:b w:val="0"/>
          <w:bCs/>
          <w:color w:val="auto"/>
          <w:sz w:val="24"/>
          <w:szCs w:val="24"/>
          <w:highlight w:val="none"/>
        </w:rPr>
        <w:t xml:space="preserve">，免维护机械寿命达到</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000次。</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其它要求：</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低压塑壳断路器相关参数及技术要求需满足设计图纸及说明的要求</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 ）多功能</w:t>
      </w:r>
      <w:bookmarkStart w:id="272" w:name="OLE_LINK2"/>
      <w:r>
        <w:rPr>
          <w:rFonts w:hint="eastAsia" w:ascii="宋体" w:hAnsi="宋体" w:eastAsia="宋体" w:cs="宋体"/>
          <w:b w:val="0"/>
          <w:bCs/>
          <w:color w:val="auto"/>
          <w:sz w:val="24"/>
          <w:szCs w:val="24"/>
          <w:highlight w:val="none"/>
        </w:rPr>
        <w:t xml:space="preserve">仪表</w:t>
      </w:r>
      <w:bookmarkEnd w:id="272"/>
      <w:r>
        <w:rPr>
          <w:color w:val="auto"/>
          <w:highlight w:val="none"/>
        </w:rPr>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多功能仪表与带电部分保持足够的安全距离，否则采取可靠的防护措施，以保证在带电部分不停电的情况下进行工作时，人员不致触及运行的导电体。</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多功能仪表应有可靠的防震动措施，不因低压开关柜内断路器的正常工作及故障动作时产生的震动而影响它的正常工作及性能。</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多功能仪表配置要求：</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3.1环境条件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环境温度：-25℃～+70℃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贮存温度：-40℃～+85℃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相对湿度：5%～95%（无冷凝）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大气压力：70 kPa～106 kPa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海拔高度：＜3000m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3.2 工作电源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电源电压：95～250VAC/DC，47～440Hz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功率消耗：＜2W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3.3 电压线路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额定电压 Un：57.7V L-N/100V L-L～220V L-N/380V L-L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测量范围：20V~1.2Un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启动电压：20V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频率：50Hz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功率消耗：＜0.02VA/相</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3.4 电流线路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额定电流： 5A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测量范围：5mA~6A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启动值：5mA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功率消耗：＜0.25VA/相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3.5 开关量输入（DI）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4 路 DI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额定电压：内激励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事件分辨率：1ms</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3.6 开关量输出（DO）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2 路电磁式继电器输出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接通容量：5A 连续，250V AC/30V DC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分断容量：L/R=40ms，10000 次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220V DC，0.1A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110V DC，0.3A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48V DC，1A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动作/返回时间：＜10ms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3.7 过载能力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电压线路：1.2 倍额定电压，连续工作；2 倍额定电压，允许 1s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电流线路：1.2 倍额定电流，连续工作；10 倍额定电流，允许 10s；20 倍额定电流，允许 1s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3.8 通信接口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1 路 RS-485 接口；可选双 RS-485 口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接口类型：RS-485，二线方式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工作方式：半双工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通信速率：1200、2400、4800、9600、19200、38400bit/s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通信协议：MODBUS-RTU及DL/645-2007或698.45</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3.9 外壳防护等级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防护等级：IP65（前壳）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3.10 污染等级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污染等级：2 级 </w:t>
      </w:r>
      <w:r>
        <w:rPr>
          <w:color w:val="auto"/>
          <w:highlight w:val="none"/>
        </w:rPr>
      </w:r>
    </w:p>
    <w:p>
      <w:pPr>
        <w:ind w:firstLine="480"/>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3.11 准确度 </w:t>
      </w:r>
      <w:r>
        <w:rPr>
          <w:color w:val="auto"/>
          <w:highlight w:val="none"/>
        </w:rP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t xml:space="preserve">被测量</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被测量最大允许误差及准确度等级</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分辨率</w:t>
            </w:r>
            <w:r>
              <w:rPr>
                <w:color w:val="auto"/>
                <w:highlight w:val="none"/>
              </w:rPr>
            </w:r>
          </w:p>
        </w:tc>
      </w:tr>
      <w:tr>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电压</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±0.2</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 </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t xml:space="preserve">0.1V</w:t>
            </w:r>
            <w:r>
              <w:rPr>
                <w:color w:val="auto"/>
                <w:highlight w:val="none"/>
              </w:rPr>
            </w:r>
          </w:p>
        </w:tc>
      </w:tr>
      <w:tr>
        <w:trPr>
          <w:trHeight w:val="342"/>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电流 </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±0.2</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0.001A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r>
      <w:tr>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有功功率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±0.5</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0.001kW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r>
      <w:tr>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无功功率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±0.5</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0.001kvar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r>
      <w:tr>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视在功率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±0.5</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0.001kVA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r>
      <w:tr>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有功电能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0.5S 级，GB/T 17215.322（IEC 62053-22）</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0.01kWh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r>
      <w:tr>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无功电能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2 级，GB/T 17215.323（IEC 62053-23）</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0.01kvarh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bidi="ar"/>
              </w:rPr>
            </w:r>
            <w:r>
              <w:rPr>
                <w:color w:val="auto"/>
                <w:highlight w:val="none"/>
              </w:rPr>
            </w:r>
          </w:p>
        </w:tc>
      </w:tr>
      <w:tr>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功率因数 </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±0.5</w:t>
            </w:r>
            <w:r>
              <w:rPr>
                <w:rFonts w:hint="eastAsia" w:ascii="宋体" w:hAnsi="宋体" w:cs="宋体"/>
                <w:b w:val="0"/>
                <w:bCs/>
                <w:color w:val="auto"/>
                <w:sz w:val="24"/>
                <w:szCs w:val="24"/>
                <w:highlight w:val="none"/>
                <w:lang w:val="en-US" w:eastAsia="zh-CN" w:bidi="ar"/>
              </w:rPr>
              <w:t xml:space="preserve">%</w:t>
            </w:r>
            <w:r>
              <w:rPr>
                <w:rFonts w:hint="eastAsia" w:ascii="宋体" w:hAnsi="宋体" w:eastAsia="宋体" w:cs="宋体"/>
                <w:b w:val="0"/>
                <w:bCs/>
                <w:color w:val="auto"/>
                <w:sz w:val="24"/>
                <w:szCs w:val="24"/>
                <w:highlight w:val="none"/>
                <w:lang w:val="en-US" w:eastAsia="zh-CN" w:bidi="ar"/>
              </w:rPr>
              <w:t xml:space="preserve"> </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0.001</w:t>
            </w:r>
            <w:r>
              <w:rPr>
                <w:color w:val="auto"/>
                <w:highlight w:val="none"/>
              </w:rPr>
            </w:r>
          </w:p>
        </w:tc>
      </w:tr>
      <w:tr>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频率 </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±0.02Hz </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0.01Hz </w:t>
            </w:r>
            <w:r>
              <w:rPr>
                <w:color w:val="auto"/>
                <w:highlight w:val="none"/>
              </w:rPr>
            </w:r>
          </w:p>
        </w:tc>
      </w:tr>
      <w:tr>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计算中性线电流</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±1.0%</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0.001A</w:t>
            </w:r>
            <w:r>
              <w:rPr>
                <w:color w:val="auto"/>
                <w:highlight w:val="none"/>
              </w:rPr>
            </w:r>
          </w:p>
        </w:tc>
      </w:tr>
      <w:tr>
        <w:trPr/>
        <w:tc>
          <w:tcPr>
            <w:tcW w:w="2840"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谐波</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S 级，GB/T 19862</w:t>
            </w:r>
            <w:r>
              <w:rPr>
                <w:color w:val="auto"/>
                <w:highlight w:val="none"/>
              </w:rPr>
            </w:r>
          </w:p>
        </w:tc>
        <w:tc>
          <w:tcPr>
            <w:tcW w:w="284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0.1%</w:t>
            </w:r>
            <w:r>
              <w:rPr>
                <w:color w:val="auto"/>
                <w:highlight w:val="none"/>
              </w:rPr>
            </w:r>
          </w:p>
        </w:tc>
      </w:tr>
    </w:tbl>
    <w:p>
      <w:pPr>
        <w:jc w:val="left"/>
        <w:keepLines w:val="0"/>
        <w:keepNext w:val="0"/>
        <w:pageBreakBefore w:val="0"/>
        <w:spacing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    3.12功能要求</w:t>
      </w:r>
      <w:r>
        <w:rPr>
          <w:color w:val="auto"/>
          <w:highlight w:val="none"/>
        </w:rPr>
      </w:r>
    </w:p>
    <w:tbl>
      <w:tblPr>
        <w:tblStyle w:val="7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01"/>
        <w:gridCol w:w="6521"/>
      </w:tblGrid>
      <w:tr>
        <w:trPr/>
        <w:tc>
          <w:tcPr>
            <w:tcW w:w="2001"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rPr>
              <w:t xml:space="preserve">功能</w:t>
            </w:r>
            <w:r>
              <w:rPr>
                <w:color w:val="auto"/>
                <w:highlight w:val="none"/>
              </w:rPr>
            </w:r>
          </w:p>
        </w:tc>
        <w:tc>
          <w:tcPr>
            <w:tcW w:w="6521" w:type="dxa"/>
            <w:vAlign w:val="top"/>
            <w:textDirection w:val="lrTb"/>
            <w:noWrap w:val="false"/>
          </w:tcPr>
          <w:p>
            <w:pPr>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lang w:val="en-US" w:eastAsia="zh-CN"/>
              </w:rPr>
              <w:t xml:space="preserve">说明</w:t>
            </w:r>
            <w:r>
              <w:rPr>
                <w:color w:val="auto"/>
                <w:highlight w:val="none"/>
              </w:rPr>
            </w:r>
          </w:p>
        </w:tc>
      </w:tr>
      <w:tr>
        <w:trPr/>
        <w:tc>
          <w:tcPr>
            <w:tcW w:w="2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输入和输出</w:t>
            </w:r>
            <w:r>
              <w:rPr>
                <w:color w:val="auto"/>
                <w:highlight w:val="none"/>
              </w:rPr>
            </w:r>
          </w:p>
        </w:tc>
        <w:tc>
          <w:tcPr>
            <w:tcW w:w="652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三相电压输入（V1、V2、V3）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三相电流输入（I1、I2、I3）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四路开关量输入（DI1～DI4）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两个继电器输出（DO1～DO2）</w:t>
            </w:r>
            <w:r>
              <w:rPr>
                <w:color w:val="auto"/>
                <w:highlight w:val="none"/>
              </w:rPr>
            </w:r>
          </w:p>
        </w:tc>
      </w:tr>
      <w:tr>
        <w:trPr/>
        <w:tc>
          <w:tcPr>
            <w:tcW w:w="2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基本测量</w:t>
            </w:r>
            <w:r>
              <w:rPr>
                <w:color w:val="auto"/>
                <w:highlight w:val="none"/>
              </w:rPr>
            </w:r>
          </w:p>
          <w:p>
            <w:pPr>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rPr>
            </w:r>
            <w:r>
              <w:rPr>
                <w:color w:val="auto"/>
                <w:highlight w:val="none"/>
              </w:rPr>
            </w:r>
          </w:p>
        </w:tc>
        <w:tc>
          <w:tcPr>
            <w:tcW w:w="652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三相相电压及平均值、三相线电压及平均值、三相电流及平均值、三相有功功率及总值、三相无功功率及总值、三相视在功率及总值、三相功率因数及总值、频率、计算中性线电流</w:t>
            </w:r>
            <w:r>
              <w:rPr>
                <w:color w:val="auto"/>
                <w:highlight w:val="none"/>
              </w:rPr>
            </w:r>
          </w:p>
        </w:tc>
      </w:tr>
      <w:tr>
        <w:trPr/>
        <w:tc>
          <w:tcPr>
            <w:tcW w:w="2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电能计量</w:t>
            </w:r>
            <w:r>
              <w:rPr>
                <w:color w:val="auto"/>
                <w:highlight w:val="none"/>
              </w:rPr>
            </w:r>
          </w:p>
          <w:p>
            <w:pPr>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rPr>
            </w:r>
            <w:r>
              <w:rPr>
                <w:color w:val="auto"/>
                <w:highlight w:val="none"/>
              </w:rPr>
            </w:r>
          </w:p>
        </w:tc>
        <w:tc>
          <w:tcPr>
            <w:tcW w:w="652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三相及单相的以下电能数据：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正向有功电能、反向有功电能、有功电能总和、有功电能净值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正向无功电能、反向无功电能、无功电能总和、无功电能净值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四象限无功电能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视在电能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尖、峰、平、谷正向有功电能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针对以上的三相电能提供最近 12 个月的单月电能值</w:t>
            </w:r>
            <w:r>
              <w:rPr>
                <w:color w:val="auto"/>
                <w:highlight w:val="none"/>
              </w:rPr>
            </w:r>
          </w:p>
        </w:tc>
      </w:tr>
      <w:tr>
        <w:trPr/>
        <w:tc>
          <w:tcPr>
            <w:tcW w:w="2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电能质量</w:t>
            </w:r>
            <w:r>
              <w:rPr>
                <w:color w:val="auto"/>
                <w:highlight w:val="none"/>
              </w:rPr>
            </w:r>
          </w:p>
          <w:p>
            <w:pPr>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rPr>
            </w:r>
            <w:r>
              <w:rPr>
                <w:color w:val="auto"/>
                <w:highlight w:val="none"/>
              </w:rPr>
            </w:r>
          </w:p>
        </w:tc>
        <w:tc>
          <w:tcPr>
            <w:tcW w:w="652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基波数据：功率因数及总值、有功功率及总值、三相电压/电流角度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序分量：电压正/负/零序分量，电流正/负/零序分量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谐波数据：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三相电压/电流奇次、偶次及总谐波畸变率</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三相电压/电流分次谐波畸变率(2～31 次)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三相电流奇次、偶次及总 TDD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三相电流波峰因子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电压/电流不平衡度</w:t>
            </w:r>
            <w:r>
              <w:rPr>
                <w:color w:val="auto"/>
                <w:highlight w:val="none"/>
              </w:rPr>
            </w:r>
          </w:p>
        </w:tc>
      </w:tr>
      <w:tr>
        <w:trPr/>
        <w:tc>
          <w:tcPr>
            <w:tcW w:w="2001"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通信方式</w:t>
            </w:r>
            <w:r>
              <w:rPr>
                <w:color w:val="auto"/>
                <w:highlight w:val="none"/>
              </w:rPr>
            </w:r>
          </w:p>
          <w:p>
            <w:pPr>
              <w:jc w:val="center"/>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vertAlign w:val="baseline"/>
              </w:rPr>
            </w:r>
            <w:r>
              <w:rPr>
                <w:color w:val="auto"/>
                <w:highlight w:val="none"/>
              </w:rPr>
            </w:r>
          </w:p>
        </w:tc>
        <w:tc>
          <w:tcPr>
            <w:tcW w:w="6521" w:type="dxa"/>
            <w:vAlign w:val="top"/>
            <w:textDirection w:val="lrTb"/>
            <w:noWrap w:val="false"/>
          </w:tcPr>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RS-485和脉冲</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通信规约：MODBUS-RTU及DL/645-2007或698.45 </w:t>
            </w:r>
            <w:r>
              <w:rPr>
                <w:color w:val="auto"/>
                <w:highlight w:val="none"/>
              </w:rPr>
            </w:r>
          </w:p>
          <w:p>
            <w:pPr>
              <w:jc w:val="left"/>
              <w:keepLines w:val="0"/>
              <w:keepNext w:val="0"/>
              <w:pageBreakBefore w:val="0"/>
              <w:spacing w:after="0" w:line="240" w:lineRule="auto"/>
              <w:widowControl/>
              <w:rPr>
                <w:rFonts w:hint="eastAsia" w:ascii="宋体" w:hAnsi="宋体" w:eastAsia="宋体" w:cs="宋体"/>
                <w:b w:val="0"/>
                <w:bCs/>
                <w:color w:val="auto"/>
                <w:sz w:val="24"/>
                <w:szCs w:val="24"/>
                <w:highlight w:val="none"/>
                <w:vertAlign w:val="baseline"/>
              </w:rPr>
              <w:suppressLineNumbers w:val="0"/>
            </w:pPr>
            <w:r>
              <w:rPr>
                <w:rFonts w:hint="eastAsia" w:ascii="宋体" w:hAnsi="宋体" w:eastAsia="宋体" w:cs="宋体"/>
                <w:b w:val="0"/>
                <w:bCs/>
                <w:color w:val="auto"/>
                <w:sz w:val="24"/>
                <w:szCs w:val="24"/>
                <w:highlight w:val="none"/>
                <w:lang w:val="en-US" w:eastAsia="zh-CN" w:bidi="ar"/>
              </w:rPr>
              <w:t xml:space="preserve">通信速率支持 1200bps、2400bps、4800bps、9600bps、19200bps、38400bps</w:t>
            </w:r>
            <w:r>
              <w:rPr>
                <w:color w:val="auto"/>
                <w:highlight w:val="none"/>
              </w:rPr>
            </w:r>
          </w:p>
        </w:tc>
      </w:tr>
    </w:tbl>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 ）电流互感器</w:t>
      </w:r>
      <w:r>
        <w:rPr>
          <w:color w:val="auto"/>
          <w:highlight w:val="none"/>
        </w:rPr>
      </w:r>
    </w:p>
    <w:p>
      <w:pPr>
        <w:ind w:firstLine="480"/>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按GB标准的有关要求进行选用，也应考虑到使用处的特殊要求。电流互感器应满足初级额定短路电流及初级额定负载电流。电流互感器应符合规定的电流的要求。精度等级及负载，应配合继电器、仪表仪器的运行要求。电流互感器输出为0～5A，测量用电流互感器准确度为0.2s级，保护用电流互感器准确度为0.5级，二次侧一端接地。</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 ）</w:t>
      </w:r>
      <w:r>
        <w:rPr>
          <w:rFonts w:hint="eastAsia" w:ascii="宋体" w:hAnsi="宋体" w:eastAsia="宋体" w:cs="宋体"/>
          <w:b w:val="0"/>
          <w:bCs/>
          <w:color w:val="auto"/>
          <w:sz w:val="24"/>
          <w:szCs w:val="24"/>
          <w:highlight w:val="none"/>
          <w:lang w:val="en-US" w:eastAsia="zh-CN"/>
        </w:rPr>
        <w:t xml:space="preserve">低压滤波型SVG</w:t>
      </w:r>
      <w:r>
        <w:rPr>
          <w:color w:val="auto"/>
          <w:highlight w:val="none"/>
        </w:rPr>
      </w:r>
    </w:p>
    <w:p>
      <w:pPr>
        <w:keepLines w:val="0"/>
        <w:keepNext w:val="0"/>
        <w:pageBreakBefore w:val="0"/>
        <w:spacing w:line="240" w:lineRule="auto"/>
        <w:tabs>
          <w:tab w:val="left" w:pos="720"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主要技术参数</w:t>
      </w:r>
      <w:r>
        <w:rPr>
          <w:color w:val="auto"/>
          <w:highlight w:val="none"/>
        </w:rPr>
      </w:r>
    </w:p>
    <w:p>
      <w:pPr>
        <w:pStyle w:val="729"/>
        <w:ind w:firstLine="463"/>
        <w:keepLines w:val="0"/>
        <w:keepNext w:val="0"/>
        <w:pageBreakBefore w:val="0"/>
        <w:spacing w:line="240" w:lineRule="auto"/>
        <w:tabs>
          <w:tab w:val="left" w:pos="426"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a</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额定电压：380V/400V，波动范围-40%~+20%</w:t>
      </w:r>
      <w:r>
        <w:rPr>
          <w:rFonts w:hint="eastAsia" w:ascii="宋体" w:hAnsi="宋体" w:eastAsia="宋体" w:cs="宋体"/>
          <w:b w:val="0"/>
          <w:bCs/>
          <w:color w:val="auto"/>
          <w:sz w:val="24"/>
          <w:szCs w:val="24"/>
          <w:highlight w:val="none"/>
        </w:rPr>
        <w:t xml:space="preserve">；</w:t>
      </w:r>
      <w:r>
        <w:rPr>
          <w:color w:val="auto"/>
          <w:highlight w:val="none"/>
        </w:rPr>
      </w:r>
    </w:p>
    <w:p>
      <w:pPr>
        <w:ind w:firstLine="463"/>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b</w:t>
      </w:r>
      <w:r>
        <w:rPr>
          <w:rFonts w:hint="eastAsia" w:ascii="宋体" w:hAnsi="宋体" w:eastAsia="宋体" w:cs="宋体"/>
          <w:b w:val="0"/>
          <w:bCs/>
          <w:color w:val="auto"/>
          <w:sz w:val="24"/>
          <w:szCs w:val="24"/>
          <w:highlight w:val="none"/>
        </w:rPr>
        <w:t xml:space="preserve">）额定频率：45-65Hz；</w:t>
      </w:r>
      <w:r>
        <w:rPr>
          <w:color w:val="auto"/>
          <w:highlight w:val="none"/>
        </w:rPr>
      </w:r>
    </w:p>
    <w:p>
      <w:pPr>
        <w:pStyle w:val="729"/>
        <w:ind w:firstLine="463"/>
        <w:keepLines w:val="0"/>
        <w:keepNext w:val="0"/>
        <w:pageBreakBefore w:val="0"/>
        <w:spacing w:line="240" w:lineRule="auto"/>
        <w:tabs>
          <w:tab w:val="left" w:pos="426"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c</w:t>
      </w:r>
      <w:r>
        <w:rPr>
          <w:rFonts w:hint="eastAsia" w:ascii="宋体" w:hAnsi="宋体" w:eastAsia="宋体" w:cs="宋体"/>
          <w:b w:val="0"/>
          <w:bCs/>
          <w:color w:val="auto"/>
          <w:sz w:val="24"/>
          <w:szCs w:val="24"/>
          <w:highlight w:val="none"/>
        </w:rPr>
        <w:t xml:space="preserve">）开关频率：20kHz(平均)；</w:t>
      </w:r>
      <w:r>
        <w:rPr>
          <w:color w:val="auto"/>
          <w:highlight w:val="none"/>
        </w:rPr>
      </w:r>
    </w:p>
    <w:p>
      <w:pPr>
        <w:pStyle w:val="729"/>
        <w:ind w:firstLine="463"/>
        <w:keepLines w:val="0"/>
        <w:keepNext w:val="0"/>
        <w:pageBreakBefore w:val="0"/>
        <w:spacing w:line="240" w:lineRule="auto"/>
        <w:tabs>
          <w:tab w:val="left" w:pos="426"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d</w:t>
      </w:r>
      <w:r>
        <w:rPr>
          <w:rFonts w:hint="eastAsia" w:ascii="宋体" w:hAnsi="宋体" w:eastAsia="宋体" w:cs="宋体"/>
          <w:b w:val="0"/>
          <w:bCs/>
          <w:color w:val="auto"/>
          <w:sz w:val="24"/>
          <w:szCs w:val="24"/>
          <w:highlight w:val="none"/>
        </w:rPr>
        <w:t xml:space="preserve">）谐波治理效果：≧97%；</w:t>
      </w:r>
      <w:r>
        <w:rPr>
          <w:color w:val="auto"/>
          <w:highlight w:val="none"/>
        </w:rPr>
      </w:r>
    </w:p>
    <w:p>
      <w:pPr>
        <w:pStyle w:val="729"/>
        <w:ind w:firstLine="463"/>
        <w:keepLines w:val="0"/>
        <w:keepNext w:val="0"/>
        <w:pageBreakBefore w:val="0"/>
        <w:spacing w:line="240" w:lineRule="auto"/>
        <w:tabs>
          <w:tab w:val="left" w:pos="426"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e</w:t>
      </w:r>
      <w:r>
        <w:rPr>
          <w:rFonts w:hint="eastAsia" w:ascii="宋体" w:hAnsi="宋体" w:eastAsia="宋体" w:cs="宋体"/>
          <w:b w:val="0"/>
          <w:bCs/>
          <w:color w:val="auto"/>
          <w:sz w:val="24"/>
          <w:szCs w:val="24"/>
          <w:highlight w:val="none"/>
        </w:rPr>
        <w:t xml:space="preserve">）噪声：噪声≤60dB；</w:t>
      </w:r>
      <w:r>
        <w:rPr>
          <w:color w:val="auto"/>
          <w:highlight w:val="none"/>
        </w:rPr>
      </w:r>
    </w:p>
    <w:p>
      <w:pPr>
        <w:ind w:firstLine="463"/>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f</w:t>
      </w:r>
      <w:r>
        <w:rPr>
          <w:rFonts w:hint="eastAsia" w:ascii="宋体" w:hAnsi="宋体" w:eastAsia="宋体" w:cs="宋体"/>
          <w:b w:val="0"/>
          <w:bCs/>
          <w:color w:val="auto"/>
          <w:sz w:val="24"/>
          <w:szCs w:val="24"/>
          <w:highlight w:val="none"/>
        </w:rPr>
        <w:t xml:space="preserve">）扩容方式：模块化设计，支持多机并联扩容，并联容量不受限制。可通过增加机柜所装的模块数量进行扩容；</w:t>
      </w:r>
      <w:r>
        <w:rPr>
          <w:color w:val="auto"/>
          <w:highlight w:val="none"/>
        </w:rPr>
      </w:r>
    </w:p>
    <w:p>
      <w:pPr>
        <w:ind w:firstLine="463"/>
        <w:keepLines w:val="0"/>
        <w:keepNext w:val="0"/>
        <w:pageBreakBefore w:val="0"/>
        <w:spacing w:line="240" w:lineRule="auto"/>
        <w:tabs>
          <w:tab w:val="left" w:pos="426"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g</w:t>
      </w:r>
      <w:r>
        <w:rPr>
          <w:rFonts w:hint="eastAsia" w:ascii="宋体" w:hAnsi="宋体" w:eastAsia="宋体" w:cs="宋体"/>
          <w:b w:val="0"/>
          <w:bCs/>
          <w:color w:val="auto"/>
          <w:sz w:val="24"/>
          <w:szCs w:val="24"/>
          <w:highlight w:val="none"/>
        </w:rPr>
        <w:t xml:space="preserve">）防护等级：IP20；</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技术性能及要求 :</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a）低压SVG采用全数字、模块化控制方式，CPU采用3DSP+CPLD全数字、模块化控制，主控中心做全封闭防尘处理。同时支持智能傅里叶和快速傅里叶（FFT）算法。</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b）低压SVG对A、B、C三相能进行分相补偿。</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c）低压SVG独立于电网阻抗及系统阻抗，不受电网阻抗和系统阻抗变化的影响。</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d）低压SVG能有效的抑制系统的闪变，自身的高频载波不能回馈到电网，对其它的系统和设备没有干扰，具备免维护功能，能保证长周期稳定运行，控制单元程序具备自检功能。</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e）低压SVG能显示线电压有效值、电压谐波值、电流有效值、视在功率、功率因数等运行参数。</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f）当系统断电时，SVG应自动断开。在系统恢复后，SVG能自动恢复。</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g）系统具备快速、完全的故障自检及保护功能，同时自动采取相对应的操作，包括上电自检功能、过电流、过电压、欠电压短路、直流侧过/欠电压保护、驱动板故障保护、换流器过电流保护、换流器模块过温保护、同步信号异常报警功能。故障出现后机器会自动报警且停止工作不会影响其他设备正常运行。</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h）自动限定在额定容量范围内100%输出，如果负载侧无功电流大于其额定容量，低压SVG应能在额定容量内继续输出电流补偿无功，不发生过载导致设备超载或退出运行。具有缓启动回路，以避免启动瞬间过大的突入电流，并限制该电流在额定范围内。</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i）低压SVG具备RS485通讯接口并且可以扩展以太网络接口、干接点接口，并设置备用通道，以防止将来增加功能时有通道可用，在中央控制室能显示SVG的运行状态。在低压SVG发生故障时，具有报警功能。</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3、智能监控平台部分</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）支持电气仪表，及门禁/水浸/烟感/气体传感器等接入，实时展示系统结构、电气主接线图，动态显示模拟量/开关量实时数据，环境监控。实现可监、可控、可测。</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）产品具有8个RS-485串口，4个网口，可支持对电流电压等主要电量参数监测显示运行曲线以及历史曲线，以便后续问题定位和追溯。</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）支持报表快速生成, 提供常用报表类型，提供回路选择，用户可以灵活查询所需的回路数据，支持报表导出和打印。</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具备异常预警功能，通过实时采集分析电参量、温度、谐波等信息进行分析和判断，及时预警，减少故障跳闸发生次数。具备故障报警及分析功能，即能对过压，过流，温升等运行故障报警，给出故障类别及位置，降低维修和停电时间。</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）南向支持Modbus、DLT645、IEC103、IEC61850等协议，并能根据实际接入设备，可定制开发扩展。北向支持Modbus Slave、OPC UA、WebService、HTTP等。</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）所有通讯端口、数据平台接口可支持开放协议，不设置技术壁垒。</w:t>
      </w:r>
      <w:r>
        <w:rPr>
          <w:color w:val="auto"/>
          <w:highlight w:val="none"/>
        </w:rPr>
      </w:r>
    </w:p>
    <w:p>
      <w:pPr>
        <w:jc w:val="left"/>
        <w:keepLines w:val="0"/>
        <w:keepNext w:val="0"/>
        <w:pageBreakBefore w:val="0"/>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）支持一键导入配置就可自动生成项目配置，包括设备接入配置和组态画面等应用，大大提升产品应用效率。</w:t>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46"/>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rPr>
          <w:color w:val="auto"/>
          <w:highlight w:val="none"/>
        </w:rPr>
      </w:r>
    </w:p>
    <w:p>
      <w:pPr>
        <w:pStyle w:val="709"/>
        <w:jc w:val="center"/>
        <w:rPr>
          <w:rFonts w:hint="eastAsia"/>
          <w:b/>
          <w:bCs/>
          <w:color w:val="auto"/>
          <w:highlight w:val="none"/>
        </w:rPr>
      </w:pPr>
      <w:r>
        <w:rPr>
          <w:color w:val="auto"/>
          <w:highlight w:val="none"/>
        </w:rPr>
      </w:r>
      <w:bookmarkStart w:id="273" w:name="_Toc23658"/>
      <w:r>
        <w:rPr>
          <w:color w:val="auto"/>
          <w:highlight w:val="none"/>
        </w:rPr>
      </w:r>
      <w:bookmarkStart w:id="274" w:name="_Toc32308"/>
      <w:r>
        <w:rPr>
          <w:rFonts w:hint="eastAsia"/>
          <w:b/>
          <w:bCs/>
          <w:color w:val="auto"/>
          <w:highlight w:val="none"/>
        </w:rPr>
        <w:t xml:space="preserve">第</w:t>
      </w:r>
      <w:r>
        <w:rPr>
          <w:rFonts w:hint="eastAsia"/>
          <w:b/>
          <w:bCs/>
          <w:color w:val="auto"/>
          <w:highlight w:val="none"/>
          <w:lang w:val="en-US" w:eastAsia="zh-CN"/>
        </w:rPr>
        <w:t xml:space="preserve">七</w:t>
      </w:r>
      <w:r>
        <w:rPr>
          <w:rFonts w:hint="eastAsia"/>
          <w:b/>
          <w:bCs/>
          <w:color w:val="auto"/>
          <w:highlight w:val="none"/>
        </w:rPr>
        <w:t xml:space="preserve">章 评审方法和评审标准</w:t>
      </w:r>
      <w:bookmarkEnd w:id="250"/>
      <w:r>
        <w:rPr>
          <w:color w:val="auto"/>
          <w:highlight w:val="none"/>
        </w:rPr>
      </w:r>
      <w:bookmarkEnd w:id="251"/>
      <w:r>
        <w:rPr>
          <w:color w:val="auto"/>
          <w:highlight w:val="none"/>
        </w:rPr>
      </w:r>
      <w:bookmarkEnd w:id="252"/>
      <w:r>
        <w:rPr>
          <w:color w:val="auto"/>
          <w:highlight w:val="none"/>
        </w:rPr>
      </w:r>
      <w:bookmarkEnd w:id="273"/>
      <w:r>
        <w:rPr>
          <w:color w:val="auto"/>
          <w:highlight w:val="none"/>
        </w:rPr>
      </w:r>
      <w:bookmarkEnd w:id="274"/>
      <w:r>
        <w:rPr>
          <w:color w:val="auto"/>
          <w:highlight w:val="none"/>
        </w:rPr>
      </w:r>
      <w:r>
        <w:rPr>
          <w:color w:val="auto"/>
          <w:highlight w:val="none"/>
        </w:rPr>
      </w:r>
    </w:p>
    <w:p>
      <w:pPr>
        <w:pStyle w:val="984"/>
        <w:ind w:firstLine="482"/>
        <w:jc w:val="left"/>
        <w:keepLines w:val="0"/>
        <w:keepNext w:val="0"/>
        <w:pageBreakBefore w:val="0"/>
        <w:spacing w:before="0" w:after="0" w:line="312" w:lineRule="auto"/>
        <w:rPr>
          <w:rFonts w:hint="eastAsia" w:ascii="宋体" w:hAnsi="宋体" w:eastAsia="宋体" w:cs="宋体"/>
          <w:b/>
          <w:bCs w:val="0"/>
          <w:color w:val="auto"/>
          <w:sz w:val="21"/>
          <w:szCs w:val="21"/>
          <w:highlight w:val="none"/>
        </w:rPr>
      </w:pPr>
      <w:r>
        <w:rPr>
          <w:rFonts w:hint="eastAsia" w:ascii="宋体" w:hAnsi="宋体" w:eastAsia="宋体" w:cs="宋体"/>
          <w:b/>
          <w:color w:val="auto"/>
          <w:sz w:val="21"/>
          <w:szCs w:val="21"/>
          <w:highlight w:val="none"/>
        </w:rPr>
        <w:t xml:space="preserve">一、</w:t>
      </w:r>
      <w:r>
        <w:rPr>
          <w:rFonts w:hint="eastAsia" w:ascii="宋体" w:hAnsi="宋体" w:eastAsia="宋体" w:cs="宋体"/>
          <w:b/>
          <w:bCs w:val="0"/>
          <w:color w:val="auto"/>
          <w:sz w:val="21"/>
          <w:szCs w:val="21"/>
          <w:highlight w:val="none"/>
        </w:rPr>
        <w:t xml:space="preserve">磋商小组</w:t>
      </w:r>
      <w:r>
        <w:rPr>
          <w:rFonts w:hint="eastAsia" w:ascii="宋体" w:hAnsi="宋体" w:eastAsia="宋体" w:cs="宋体"/>
          <w:b/>
          <w:bCs w:val="0"/>
          <w:color w:val="auto"/>
          <w:sz w:val="21"/>
          <w:szCs w:val="21"/>
          <w:highlight w:val="none"/>
          <w:lang w:eastAsia="zh-CN"/>
        </w:rPr>
        <w:t xml:space="preserve">：</w:t>
      </w:r>
      <w:r>
        <w:rPr>
          <w:color w:val="auto"/>
          <w:highlight w:val="none"/>
        </w:rPr>
      </w:r>
    </w:p>
    <w:p>
      <w:pPr>
        <w:pStyle w:val="984"/>
        <w:ind w:firstLine="480"/>
        <w:jc w:val="left"/>
        <w:keepLines w:val="0"/>
        <w:keepNext w:val="0"/>
        <w:pageBreakBefore w:val="0"/>
        <w:spacing w:before="0" w:after="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本采购项目磋商小组的评委由相关的专家、采购人代表等有关人员构成。</w:t>
      </w:r>
      <w:r>
        <w:rPr>
          <w:color w:val="auto"/>
          <w:highlight w:val="none"/>
        </w:rPr>
      </w:r>
    </w:p>
    <w:p>
      <w:pPr>
        <w:pStyle w:val="984"/>
        <w:ind w:firstLine="482"/>
        <w:jc w:val="left"/>
        <w:keepLines w:val="0"/>
        <w:keepNext w:val="0"/>
        <w:pageBreakBefore w:val="0"/>
        <w:spacing w:before="0" w:after="0" w:line="312" w:lineRule="auto"/>
        <w:rPr>
          <w:rFonts w:hint="eastAsia" w:ascii="宋体" w:hAnsi="宋体" w:eastAsia="宋体" w:cs="宋体"/>
          <w:b/>
          <w:bCs w:val="0"/>
          <w:color w:val="auto"/>
          <w:sz w:val="21"/>
          <w:szCs w:val="21"/>
          <w:highlight w:val="none"/>
        </w:rPr>
      </w:pPr>
      <w:r>
        <w:rPr>
          <w:rFonts w:hint="eastAsia" w:ascii="宋体" w:hAnsi="宋体" w:cs="宋体"/>
          <w:b/>
          <w:bCs w:val="0"/>
          <w:color w:val="auto"/>
          <w:sz w:val="21"/>
          <w:szCs w:val="21"/>
          <w:highlight w:val="none"/>
          <w:lang w:val="en-US" w:eastAsia="zh-CN"/>
        </w:rPr>
        <w:t xml:space="preserve">二</w:t>
      </w:r>
      <w:r>
        <w:rPr>
          <w:rFonts w:hint="eastAsia" w:ascii="宋体" w:hAnsi="宋体" w:eastAsia="宋体" w:cs="宋体"/>
          <w:b/>
          <w:bCs w:val="0"/>
          <w:color w:val="auto"/>
          <w:sz w:val="21"/>
          <w:szCs w:val="21"/>
          <w:highlight w:val="none"/>
        </w:rPr>
        <w:t xml:space="preserve">、评审方法</w:t>
      </w:r>
      <w:r>
        <w:rPr>
          <w:rFonts w:hint="eastAsia" w:ascii="宋体" w:hAnsi="宋体" w:eastAsia="宋体" w:cs="宋体"/>
          <w:b/>
          <w:bCs w:val="0"/>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综合评分法</w:t>
      </w:r>
      <w:r>
        <w:rPr>
          <w:color w:val="auto"/>
          <w:highlight w:val="none"/>
        </w:rPr>
      </w:r>
    </w:p>
    <w:p>
      <w:pPr>
        <w:pStyle w:val="984"/>
        <w:ind w:firstLine="480"/>
        <w:jc w:val="left"/>
        <w:keepLines w:val="0"/>
        <w:keepNext w:val="0"/>
        <w:pageBreakBefore w:val="0"/>
        <w:spacing w:before="0" w:after="0"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经磋商确定最终采购需求和确定提交最后报价的供应商后，由磋商小组采用综合评分法对提交最后报价的供应商的响应文件和最后报价进行综合评分。</w:t>
      </w:r>
      <w:r>
        <w:rPr>
          <w:color w:val="auto"/>
          <w:highlight w:val="none"/>
        </w:rPr>
      </w:r>
    </w:p>
    <w:p>
      <w:pPr>
        <w:pStyle w:val="984"/>
        <w:ind w:firstLine="480"/>
        <w:jc w:val="left"/>
        <w:keepLines w:val="0"/>
        <w:keepNext w:val="0"/>
        <w:pageBreakBefore w:val="0"/>
        <w:spacing w:before="0" w:after="0"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综合评分法，是指响应文件满足磋商文件全部实质性要求且按评审因素的量化指标评审得分最高的供应商为成交候选供应商的评审方法。</w:t>
      </w:r>
      <w:r>
        <w:rPr>
          <w:color w:val="auto"/>
          <w:highlight w:val="none"/>
        </w:rPr>
      </w:r>
    </w:p>
    <w:p>
      <w:pPr>
        <w:pStyle w:val="941"/>
        <w:ind w:left="0" w:firstLine="482"/>
        <w:jc w:val="both"/>
        <w:keepLines w:val="0"/>
        <w:keepNext w:val="0"/>
        <w:pageBreakBefore w:val="0"/>
        <w:spacing w:before="0" w:after="0" w:line="312"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lang w:val="en-US" w:eastAsia="zh-CN"/>
        </w:rPr>
        <w:t xml:space="preserve">注：各供应商请关注开标大厅交流区，在开标结束后，请勿离开开标大厅，待资格审查和商务技术审查完毕，采购人或采购代理机构通知最后报价填报后，所有的响应供应商须在15分钟内填写并加盖CA电子签章后提交最后报价，未在规定时间内提交最后报价的，视作无效响应处理。</w:t>
      </w:r>
      <w:r>
        <w:rPr>
          <w:color w:val="auto"/>
          <w:highlight w:val="none"/>
        </w:rPr>
      </w:r>
    </w:p>
    <w:p>
      <w:pPr>
        <w:pStyle w:val="984"/>
        <w:ind w:firstLine="480"/>
        <w:jc w:val="left"/>
        <w:keepLines w:val="0"/>
        <w:keepNext w:val="0"/>
        <w:pageBreakBefore w:val="0"/>
        <w:spacing w:before="0" w:after="0" w:line="312"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注：本项目共计二次报价，投标报价为第一次报价。</w:t>
      </w:r>
      <w:r>
        <w:rPr>
          <w:color w:val="auto"/>
          <w:highlight w:val="none"/>
        </w:rPr>
      </w:r>
    </w:p>
    <w:p>
      <w:pPr>
        <w:pStyle w:val="984"/>
        <w:ind w:firstLine="482"/>
        <w:jc w:val="left"/>
        <w:keepLines w:val="0"/>
        <w:keepNext w:val="0"/>
        <w:pageBreakBefore w:val="0"/>
        <w:spacing w:before="0" w:after="0" w:line="312" w:lineRule="auto"/>
        <w:rPr>
          <w:rFonts w:hint="eastAsia" w:ascii="宋体" w:hAnsi="宋体" w:eastAsia="宋体" w:cs="宋体"/>
          <w:b/>
          <w:bCs w:val="0"/>
          <w:color w:val="auto"/>
          <w:sz w:val="21"/>
          <w:szCs w:val="21"/>
          <w:highlight w:val="none"/>
        </w:rPr>
      </w:pPr>
      <w:r>
        <w:rPr>
          <w:rFonts w:hint="eastAsia" w:ascii="宋体" w:hAnsi="宋体" w:cs="宋体"/>
          <w:b/>
          <w:bCs w:val="0"/>
          <w:color w:val="auto"/>
          <w:sz w:val="21"/>
          <w:szCs w:val="21"/>
          <w:highlight w:val="none"/>
          <w:lang w:val="en-US" w:eastAsia="zh-CN"/>
        </w:rPr>
        <w:t xml:space="preserve">三</w:t>
      </w:r>
      <w:r>
        <w:rPr>
          <w:rFonts w:hint="eastAsia" w:ascii="宋体" w:hAnsi="宋体" w:eastAsia="宋体" w:cs="宋体"/>
          <w:b/>
          <w:bCs w:val="0"/>
          <w:color w:val="auto"/>
          <w:sz w:val="21"/>
          <w:szCs w:val="21"/>
          <w:highlight w:val="none"/>
        </w:rPr>
        <w:t xml:space="preserve">、评审原则</w:t>
      </w:r>
      <w:r>
        <w:rPr>
          <w:rFonts w:hint="eastAsia" w:ascii="宋体" w:hAnsi="宋体" w:eastAsia="宋体" w:cs="宋体"/>
          <w:b/>
          <w:bCs w:val="0"/>
          <w:color w:val="auto"/>
          <w:sz w:val="21"/>
          <w:szCs w:val="21"/>
          <w:highlight w:val="none"/>
          <w:lang w:eastAsia="zh-CN"/>
        </w:rPr>
        <w:t xml:space="preserve">：</w:t>
      </w:r>
      <w:r>
        <w:rPr>
          <w:color w:val="auto"/>
          <w:highlight w:val="none"/>
        </w:rPr>
      </w:r>
    </w:p>
    <w:p>
      <w:pPr>
        <w:pStyle w:val="984"/>
        <w:ind w:firstLine="482"/>
        <w:jc w:val="left"/>
        <w:keepLines w:val="0"/>
        <w:keepNext w:val="0"/>
        <w:pageBreakBefore w:val="0"/>
        <w:spacing w:before="0" w:after="0" w:line="312"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磋商小组</w:t>
      </w:r>
      <w:r>
        <w:rPr>
          <w:rFonts w:hint="eastAsia" w:ascii="宋体" w:hAnsi="宋体" w:eastAsia="宋体" w:cs="宋体"/>
          <w:bCs/>
          <w:color w:val="auto"/>
          <w:sz w:val="21"/>
          <w:szCs w:val="21"/>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sz w:val="21"/>
          <w:szCs w:val="21"/>
          <w:highlight w:val="none"/>
        </w:rPr>
        <w:t xml:space="preserve">磋商小组</w:t>
      </w:r>
      <w:r>
        <w:rPr>
          <w:rFonts w:hint="eastAsia" w:ascii="宋体" w:hAnsi="宋体" w:eastAsia="宋体" w:cs="宋体"/>
          <w:bCs/>
          <w:color w:val="auto"/>
          <w:sz w:val="21"/>
          <w:szCs w:val="21"/>
          <w:highlight w:val="none"/>
        </w:rPr>
        <w:t xml:space="preserve">及有关工作人员不得私下与供应商接触。</w:t>
      </w:r>
      <w:r>
        <w:rPr>
          <w:color w:val="auto"/>
          <w:highlight w:val="none"/>
        </w:rPr>
      </w:r>
    </w:p>
    <w:p>
      <w:pPr>
        <w:pStyle w:val="984"/>
        <w:ind w:firstLine="482"/>
        <w:jc w:val="left"/>
        <w:keepLines w:val="0"/>
        <w:keepNext w:val="0"/>
        <w:pageBreakBefore w:val="0"/>
        <w:spacing w:before="0" w:after="0" w:line="312" w:lineRule="auto"/>
        <w:rPr>
          <w:rFonts w:hint="eastAsia" w:ascii="宋体" w:hAnsi="宋体" w:eastAsia="宋体" w:cs="宋体"/>
          <w:b/>
          <w:bCs w:val="0"/>
          <w:color w:val="auto"/>
          <w:sz w:val="21"/>
          <w:szCs w:val="21"/>
          <w:highlight w:val="none"/>
        </w:rPr>
      </w:pPr>
      <w:r>
        <w:rPr>
          <w:rFonts w:hint="eastAsia" w:ascii="宋体" w:hAnsi="宋体" w:cs="宋体"/>
          <w:b/>
          <w:bCs w:val="0"/>
          <w:color w:val="auto"/>
          <w:sz w:val="21"/>
          <w:szCs w:val="21"/>
          <w:highlight w:val="none"/>
          <w:lang w:val="en-US" w:eastAsia="zh-CN"/>
        </w:rPr>
        <w:t xml:space="preserve">四</w:t>
      </w:r>
      <w:r>
        <w:rPr>
          <w:rFonts w:hint="eastAsia" w:ascii="宋体" w:hAnsi="宋体" w:eastAsia="宋体" w:cs="宋体"/>
          <w:b/>
          <w:bCs w:val="0"/>
          <w:color w:val="auto"/>
          <w:sz w:val="21"/>
          <w:szCs w:val="21"/>
          <w:highlight w:val="none"/>
        </w:rPr>
        <w:t xml:space="preserve">、评审标准： </w:t>
      </w:r>
      <w:r>
        <w:rPr>
          <w:color w:val="auto"/>
          <w:highlight w:val="none"/>
        </w:rPr>
      </w:r>
    </w:p>
    <w:p>
      <w:pPr>
        <w:pStyle w:val="984"/>
        <w:ind w:firstLine="480"/>
        <w:jc w:val="left"/>
        <w:keepLines w:val="0"/>
        <w:keepNext w:val="0"/>
        <w:pageBreakBefore w:val="0"/>
        <w:spacing w:before="0" w:after="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（一）评审时，磋商小组以磋商文件为评审依据，磋商小组各成员独立对每个有效响应的文件进行评价、打分，然后汇总每个供应商每项评审因素的得分。</w:t>
      </w:r>
      <w:r>
        <w:rPr>
          <w:color w:val="auto"/>
          <w:highlight w:val="none"/>
        </w:rPr>
      </w:r>
    </w:p>
    <w:p>
      <w:pPr>
        <w:pStyle w:val="949"/>
        <w:ind w:firstLine="480"/>
        <w:jc w:val="left"/>
        <w:keepLines w:val="0"/>
        <w:keepNext w:val="0"/>
        <w:pageBreakBefore w:val="0"/>
        <w:spacing w:line="312" w:lineRule="auto"/>
        <w:tabs>
          <w:tab w:val="left" w:pos="72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（二）本项目评分总分为100分，按四舍五入取至小数点后两位。</w:t>
      </w:r>
      <w:r>
        <w:rPr>
          <w:color w:val="auto"/>
          <w:highlight w:val="none"/>
        </w:rPr>
      </w:r>
    </w:p>
    <w:p>
      <w:pPr>
        <w:numPr>
          <w:ilvl w:val="0"/>
          <w:numId w:val="0"/>
        </w:numPr>
        <w:ind w:firstLine="420"/>
        <w:jc w:val="left"/>
        <w:keepLines w:val="0"/>
        <w:keepNext w:val="0"/>
        <w:pageBreakBefore w:val="0"/>
        <w:spacing w:line="312"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（1）价格</w:t>
      </w:r>
      <w:r>
        <w:rPr>
          <w:rFonts w:hint="eastAsia" w:ascii="宋体" w:hAnsi="宋体" w:eastAsia="宋体" w:cs="宋体"/>
          <w:b w:val="0"/>
          <w:bCs/>
          <w:color w:val="auto"/>
          <w:sz w:val="21"/>
          <w:szCs w:val="21"/>
          <w:highlight w:val="none"/>
          <w:lang w:val="zh-CN"/>
        </w:rPr>
        <w:t xml:space="preserve">分：</w:t>
      </w:r>
      <w:r>
        <w:rPr>
          <w:rFonts w:hint="eastAsia" w:ascii="宋体" w:hAnsi="宋体" w:cs="宋体"/>
          <w:b w:val="0"/>
          <w:bCs/>
          <w:color w:val="auto"/>
          <w:sz w:val="21"/>
          <w:szCs w:val="21"/>
          <w:highlight w:val="none"/>
          <w:lang w:val="en-US" w:eastAsia="zh-CN"/>
        </w:rPr>
        <w:t xml:space="preserve">45</w:t>
      </w:r>
      <w:r>
        <w:rPr>
          <w:rFonts w:hint="eastAsia" w:ascii="宋体" w:hAnsi="宋体" w:eastAsia="宋体" w:cs="宋体"/>
          <w:b w:val="0"/>
          <w:bCs/>
          <w:color w:val="auto"/>
          <w:sz w:val="21"/>
          <w:szCs w:val="21"/>
          <w:highlight w:val="none"/>
          <w:lang w:val="zh-CN"/>
        </w:rPr>
        <w:t xml:space="preserve">分</w:t>
      </w:r>
      <w:r>
        <w:rPr>
          <w:color w:val="auto"/>
          <w:highlight w:val="none"/>
        </w:rPr>
      </w:r>
    </w:p>
    <w:p>
      <w:pPr>
        <w:pStyle w:val="984"/>
        <w:keepLines w:val="0"/>
        <w:keepNext w:val="0"/>
        <w:pageBreakBefore w:val="0"/>
        <w:spacing w:before="0" w:after="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价格分统一采用低价优先法计算，即满足磋商文件要求且最后报价最低的供应商的价格为磋商基准价，其价格分为满分。其他供应商的价格分统一按照下列公式计算：</w:t>
      </w:r>
      <w:r>
        <w:rPr>
          <w:color w:val="auto"/>
          <w:highlight w:val="none"/>
        </w:rPr>
      </w:r>
    </w:p>
    <w:p>
      <w:pPr>
        <w:pStyle w:val="984"/>
        <w:keepLines w:val="0"/>
        <w:keepNext w:val="0"/>
        <w:pageBreakBefore w:val="0"/>
        <w:spacing w:before="0" w:after="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磋商报价得分=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磋商基准价/最后磋商报价</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45</w:t>
      </w:r>
      <w:r>
        <w:rPr>
          <w:rFonts w:hint="eastAsia" w:ascii="宋体" w:hAnsi="宋体" w:eastAsia="宋体" w:cs="宋体"/>
          <w:bCs/>
          <w:color w:val="auto"/>
          <w:sz w:val="21"/>
          <w:szCs w:val="21"/>
          <w:highlight w:val="none"/>
        </w:rPr>
        <w:t xml:space="preserve">分</w:t>
      </w:r>
      <w:r>
        <w:rPr>
          <w:color w:val="auto"/>
          <w:highlight w:val="none"/>
        </w:rPr>
      </w:r>
    </w:p>
    <w:p>
      <w:pPr>
        <w:pStyle w:val="984"/>
        <w:keepLines w:val="0"/>
        <w:keepNext w:val="0"/>
        <w:pageBreakBefore w:val="0"/>
        <w:spacing w:before="0" w:after="0" w:line="312"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项目评审过程中，不得去掉最后报价中的最高报价和最低报价</w:t>
      </w:r>
      <w:r>
        <w:rPr>
          <w:color w:val="auto"/>
          <w:highlight w:val="none"/>
        </w:rPr>
      </w:r>
    </w:p>
    <w:p>
      <w:pPr>
        <w:ind w:firstLine="480"/>
        <w:jc w:val="left"/>
        <w:spacing w:line="500" w:lineRule="exact"/>
        <w:rPr>
          <w:color w:val="auto"/>
          <w:sz w:val="24"/>
          <w:szCs w:val="24"/>
          <w:highlight w:val="none"/>
        </w:rPr>
      </w:pPr>
      <w:r>
        <w:rPr>
          <w:rFonts w:hint="eastAsia"/>
          <w:color w:val="auto"/>
          <w:sz w:val="24"/>
          <w:szCs w:val="24"/>
          <w:highlight w:val="none"/>
        </w:rPr>
        <w:t xml:space="preserve">（2）技术分（</w:t>
      </w:r>
      <w:r>
        <w:rPr>
          <w:rFonts w:hint="eastAsia"/>
          <w:color w:val="auto"/>
          <w:sz w:val="24"/>
          <w:szCs w:val="24"/>
          <w:highlight w:val="none"/>
          <w:lang w:val="en-US" w:eastAsia="zh-CN"/>
        </w:rPr>
        <w:t xml:space="preserve">22</w:t>
      </w:r>
      <w:r>
        <w:rPr>
          <w:rFonts w:hint="eastAsia"/>
          <w:color w:val="auto"/>
          <w:sz w:val="24"/>
          <w:szCs w:val="24"/>
          <w:highlight w:val="none"/>
        </w:rPr>
        <w:t xml:space="preserve">分）</w:t>
      </w:r>
      <w:r>
        <w:rPr>
          <w:color w:val="auto"/>
          <w:highlight w:val="none"/>
        </w:rPr>
      </w:r>
    </w:p>
    <w:tbl>
      <w:tblPr>
        <w:tblStyle w:val="719"/>
        <w:tblW w:w="85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7"/>
        <w:gridCol w:w="7152"/>
      </w:tblGrid>
      <w:tr>
        <w:trPr>
          <w:jc w:val="center"/>
          <w:trHeight w:val="621"/>
        </w:trPr>
        <w:tc>
          <w:tcPr>
            <w:tcW w:w="1447" w:type="dxa"/>
            <w:vAlign w:val="center"/>
            <w:textDirection w:val="lrTb"/>
            <w:noWrap w:val="false"/>
          </w:tcPr>
          <w:p>
            <w:pPr>
              <w:jc w:val="center"/>
              <w:keepLines w:val="0"/>
              <w:keepNext w:val="0"/>
              <w:pageBreakBefore w:val="0"/>
              <w:spacing w:line="312"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评审因素</w:t>
            </w:r>
            <w:r>
              <w:rPr>
                <w:color w:val="auto"/>
                <w:highlight w:val="none"/>
              </w:rPr>
            </w:r>
          </w:p>
        </w:tc>
        <w:tc>
          <w:tcPr>
            <w:tcW w:w="7152" w:type="dxa"/>
            <w:vAlign w:val="center"/>
            <w:textDirection w:val="lrTb"/>
            <w:noWrap w:val="false"/>
          </w:tcPr>
          <w:p>
            <w:pPr>
              <w:jc w:val="center"/>
              <w:keepLines w:val="0"/>
              <w:keepNext w:val="0"/>
              <w:pageBreakBefore w:val="0"/>
              <w:spacing w:line="312"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评审标准</w:t>
            </w:r>
            <w:r>
              <w:rPr>
                <w:color w:val="auto"/>
                <w:highlight w:val="none"/>
              </w:rPr>
            </w:r>
          </w:p>
        </w:tc>
      </w:tr>
      <w:tr>
        <w:trPr>
          <w:jc w:val="center"/>
          <w:trHeight w:val="621"/>
        </w:trPr>
        <w:tc>
          <w:tcPr>
            <w:tcW w:w="1447" w:type="dxa"/>
            <w:vAlign w:val="center"/>
            <w:textDirection w:val="lrTb"/>
            <w:noWrap w:val="false"/>
          </w:tcPr>
          <w:p>
            <w:pPr>
              <w:ind w:left="0" w:right="0"/>
              <w:jc w:val="center"/>
              <w:keepLines w:val="0"/>
              <w:keepNext w:val="0"/>
              <w:pageBreakBefore w:val="0"/>
              <w:spacing w:line="312"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安装及调试方案</w:t>
            </w:r>
            <w:r>
              <w:rPr>
                <w:color w:val="auto"/>
                <w:highlight w:val="none"/>
              </w:rPr>
            </w:r>
          </w:p>
          <w:p>
            <w:pPr>
              <w:ind w:left="0" w:right="0"/>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（5分）</w:t>
            </w:r>
            <w:r>
              <w:rPr>
                <w:rFonts w:hint="eastAsia" w:ascii="宋体" w:hAnsi="宋体" w:eastAsia="宋体" w:cs="宋体"/>
                <w:color w:val="auto"/>
                <w:sz w:val="21"/>
                <w:szCs w:val="21"/>
                <w:highlight w:val="none"/>
                <w:lang w:val="en-US" w:eastAsia="zh-CN"/>
              </w:rPr>
              <w:t xml:space="preserve"> </w:t>
            </w:r>
            <w:r>
              <w:rPr>
                <w:color w:val="auto"/>
                <w:highlight w:val="none"/>
              </w:rPr>
            </w:r>
          </w:p>
          <w:p>
            <w:pPr>
              <w:ind w:left="0" w:right="0"/>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highlight w:val="none"/>
              </w:rPr>
            </w:r>
          </w:p>
        </w:tc>
        <w:tc>
          <w:tcPr>
            <w:tcW w:w="7152" w:type="dxa"/>
            <w:vAlign w:val="center"/>
            <w:textDirection w:val="lrTb"/>
            <w:noWrap w:val="false"/>
          </w:tcPr>
          <w:p>
            <w:pPr>
              <w:ind w:left="0" w:right="0" w:firstLine="420"/>
              <w:keepLines w:val="0"/>
              <w:keepNext w:val="0"/>
              <w:pageBreakBefore w:val="0"/>
              <w:spacing w:line="312"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bidi="ar-SA"/>
              </w:rPr>
              <w:t xml:space="preserve">供应商针对本项目提供实际制定的安装调试方案，方案详实具体、安装调试流程各环节描述完整、清晰；安装技术重点、难点突出、具有可行的解决办法的得5分；</w:t>
            </w:r>
            <w:r>
              <w:rPr>
                <w:color w:val="auto"/>
                <w:highlight w:val="none"/>
              </w:rPr>
            </w:r>
          </w:p>
          <w:p>
            <w:pPr>
              <w:ind w:left="0" w:right="0" w:firstLine="420"/>
              <w:keepLines w:val="0"/>
              <w:keepNext w:val="0"/>
              <w:pageBreakBefore w:val="0"/>
              <w:spacing w:line="312"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bidi="ar-SA"/>
              </w:rPr>
              <w:t xml:space="preserve">1.方案较为详细、安装调试流程各环节描述较完整；安装技术重点突出、2.具有较可行的解决办法得4分；</w:t>
            </w:r>
            <w:r>
              <w:rPr>
                <w:color w:val="auto"/>
                <w:highlight w:val="none"/>
              </w:rPr>
            </w:r>
          </w:p>
          <w:p>
            <w:pPr>
              <w:ind w:left="0" w:right="0" w:firstLine="420"/>
              <w:keepLines w:val="0"/>
              <w:keepNext w:val="0"/>
              <w:pageBreakBefore w:val="0"/>
              <w:spacing w:line="312"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bidi="ar-SA"/>
              </w:rPr>
              <w:t xml:space="preserve">3.方案不够详细，安装调试流程简单，安装技术简单描述得3分；</w:t>
            </w:r>
            <w:r>
              <w:rPr>
                <w:color w:val="auto"/>
                <w:highlight w:val="none"/>
              </w:rP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cs="宋体"/>
                <w:b w:val="0"/>
                <w:bCs w:val="0"/>
                <w:color w:val="auto"/>
                <w:sz w:val="21"/>
                <w:szCs w:val="21"/>
                <w:highlight w:val="none"/>
                <w:lang w:val="en-US" w:eastAsia="zh-CN" w:bidi="ar-SA"/>
              </w:rPr>
              <w:t xml:space="preserve">4.方案内容无描述的不得分；</w:t>
            </w:r>
            <w:r>
              <w:rPr>
                <w:color w:val="auto"/>
                <w:highlight w:val="none"/>
              </w:rPr>
            </w:r>
          </w:p>
        </w:tc>
      </w:tr>
      <w:tr>
        <w:trPr>
          <w:jc w:val="center"/>
          <w:trHeight w:val="621"/>
        </w:trPr>
        <w:tc>
          <w:tcPr>
            <w:shd w:val="clear" w:color="auto" w:fill="auto"/>
            <w:tcW w:w="1447" w:type="dxa"/>
            <w:vAlign w:val="center"/>
            <w:textDirection w:val="lrTb"/>
            <w:noWrap w:val="false"/>
          </w:tcPr>
          <w:p>
            <w:pPr>
              <w:ind w:left="0" w:right="0"/>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拆除及改造方案</w:t>
            </w:r>
            <w:r>
              <w:rPr>
                <w:color w:val="auto"/>
                <w:highlight w:val="none"/>
              </w:rPr>
            </w:r>
          </w:p>
          <w:p>
            <w:pPr>
              <w:ind w:left="0" w:right="0"/>
              <w:jc w:val="center"/>
              <w:keepLines w:val="0"/>
              <w:keepNext w:val="0"/>
              <w:pageBreakBefore w:val="0"/>
              <w:spacing w:line="312"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（5分</w:t>
            </w:r>
            <w:r>
              <w:rPr>
                <w:rFonts w:hint="eastAsia" w:ascii="宋体" w:hAnsi="宋体" w:eastAsia="宋体" w:cs="宋体"/>
                <w:color w:val="auto"/>
                <w:sz w:val="21"/>
                <w:szCs w:val="21"/>
                <w:highlight w:val="none"/>
                <w:lang w:eastAsia="zh-CN"/>
              </w:rPr>
              <w:t xml:space="preserve">）</w:t>
            </w:r>
            <w:r>
              <w:rPr>
                <w:color w:val="auto"/>
                <w:highlight w:val="none"/>
              </w:rPr>
            </w:r>
          </w:p>
        </w:tc>
        <w:tc>
          <w:tcPr>
            <w:shd w:val="clear" w:color="auto" w:fill="auto"/>
            <w:tcW w:w="7152" w:type="dxa"/>
            <w:vAlign w:val="center"/>
            <w:textDirection w:val="lrTb"/>
            <w:noWrap w:val="false"/>
          </w:tcPr>
          <w:p>
            <w:pPr>
              <w:ind w:left="0" w:right="0" w:firstLine="420"/>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zh-CN"/>
              </w:rPr>
              <w:t xml:space="preserve">根据项目需求、进度安排，合理提供项目拆除方案及设备房间改造方案等。</w:t>
            </w:r>
            <w:r>
              <w:rPr>
                <w:color w:val="auto"/>
                <w:highlight w:val="none"/>
              </w:rPr>
            </w:r>
          </w:p>
          <w:p>
            <w:pPr>
              <w:ind w:left="0" w:right="0"/>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1.根据现场情况，制定的安装及调试方案合理、安全，落地执行有效性高，得5分；</w:t>
            </w:r>
            <w:r>
              <w:rPr>
                <w:color w:val="auto"/>
                <w:highlight w:val="none"/>
              </w:rPr>
            </w:r>
          </w:p>
          <w:p>
            <w:pPr>
              <w:ind w:left="0" w:right="0"/>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2.根据现场情况，制定的安装及调试方案合理、安全，现场实施适配性中等，得4分；</w:t>
            </w:r>
            <w:r>
              <w:rPr>
                <w:color w:val="auto"/>
                <w:highlight w:val="none"/>
              </w:rPr>
            </w:r>
          </w:p>
          <w:p>
            <w:pPr>
              <w:ind w:left="0" w:right="0"/>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3.根据现场情况，制定的安装及调试方案合理、安全，实际操作可行性低，得3分；</w:t>
            </w:r>
            <w:r>
              <w:rPr>
                <w:color w:val="auto"/>
                <w:highlight w:val="none"/>
              </w:rPr>
            </w:r>
          </w:p>
          <w:p>
            <w:pPr>
              <w:ind w:left="0" w:right="0"/>
              <w:keepLines w:val="0"/>
              <w:keepNext w:val="0"/>
              <w:pageBreakBefore w:val="0"/>
              <w:spacing w:line="312" w:lineRule="auto"/>
              <w:rPr>
                <w:rFonts w:hint="eastAsia" w:ascii="宋体" w:hAnsi="宋体" w:eastAsia="宋体" w:cs="宋体"/>
                <w:b/>
                <w:bCs/>
                <w:color w:val="auto"/>
                <w:sz w:val="21"/>
                <w:szCs w:val="21"/>
                <w:highlight w:val="none"/>
              </w:rPr>
            </w:pPr>
            <w:r>
              <w:rPr>
                <w:rFonts w:hint="eastAsia" w:ascii="宋体" w:hAnsi="宋体" w:cs="宋体"/>
                <w:b w:val="0"/>
                <w:bCs w:val="0"/>
                <w:color w:val="auto"/>
                <w:sz w:val="21"/>
                <w:szCs w:val="21"/>
                <w:highlight w:val="none"/>
                <w:lang w:val="en-US" w:eastAsia="zh-CN" w:bidi="ar-SA"/>
              </w:rPr>
              <w:t xml:space="preserve">4.方案内容无描述的不得分；</w:t>
            </w:r>
            <w:r>
              <w:rPr>
                <w:color w:val="auto"/>
                <w:highlight w:val="none"/>
              </w:rPr>
            </w:r>
          </w:p>
        </w:tc>
      </w:tr>
      <w:tr>
        <w:trPr>
          <w:jc w:val="center"/>
          <w:trHeight w:val="621"/>
        </w:trPr>
        <w:tc>
          <w:tcPr>
            <w:shd w:val="clear" w:color="auto" w:fill="auto"/>
            <w:tcW w:w="1447" w:type="dxa"/>
            <w:vAlign w:val="center"/>
            <w:textDirection w:val="lrTb"/>
            <w:noWrap w:val="false"/>
          </w:tcPr>
          <w:p>
            <w:pPr>
              <w:ind w:left="0" w:firstLine="0"/>
              <w:jc w:val="center"/>
              <w:keepLines w:val="0"/>
              <w:keepNext w:val="0"/>
              <w:pageBreakBefore w:val="0"/>
              <w:spacing w:line="312"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难点、重点及合理化建议</w:t>
            </w:r>
            <w:r>
              <w:rPr>
                <w:color w:val="auto"/>
                <w:highlight w:val="none"/>
              </w:rPr>
            </w:r>
          </w:p>
          <w:p>
            <w:pPr>
              <w:ind w:left="0" w:firstLine="0"/>
              <w:jc w:val="center"/>
              <w:keepLines w:val="0"/>
              <w:keepNext w:val="0"/>
              <w:pageBreakBefore w:val="0"/>
              <w:spacing w:line="312"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（7分）</w:t>
            </w:r>
            <w:r>
              <w:rPr>
                <w:color w:val="auto"/>
                <w:highlight w:val="none"/>
              </w:rPr>
            </w:r>
          </w:p>
        </w:tc>
        <w:tc>
          <w:tcPr>
            <w:shd w:val="clear" w:color="auto" w:fill="auto"/>
            <w:tcW w:w="7152" w:type="dxa"/>
            <w:vAlign w:val="center"/>
            <w:textDirection w:val="lrTb"/>
            <w:noWrap w:val="false"/>
          </w:tcPr>
          <w:p>
            <w:pPr>
              <w:ind w:left="0" w:firstLine="420"/>
              <w:jc w:val="both"/>
              <w:keepLines w:val="0"/>
              <w:keepNext w:val="0"/>
              <w:pageBreakBefore w:val="0"/>
              <w:spacing w:line="312" w:lineRule="auto"/>
              <w:rPr>
                <w:rFonts w:hint="eastAsia" w:ascii="宋体" w:hAnsi="宋体" w:eastAsia="宋体" w:cs="宋体"/>
                <w:b/>
                <w:bCs w:val="0"/>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供应商针对本项目关键施工技术的难点、重点的分析及针对性合理化建议（措施）的。</w:t>
            </w:r>
            <w:r>
              <w:rPr>
                <w:rFonts w:hint="eastAsia" w:ascii="宋体" w:hAnsi="宋体" w:eastAsia="宋体" w:cs="宋体"/>
                <w:b/>
                <w:bCs w:val="0"/>
                <w:color w:val="auto"/>
                <w:sz w:val="21"/>
                <w:szCs w:val="21"/>
                <w:highlight w:val="none"/>
                <w:lang w:val="en-US" w:eastAsia="zh-CN"/>
              </w:rPr>
              <w:t xml:space="preserve">难点、重点及合理化建议</w:t>
            </w:r>
            <w:r>
              <w:rPr>
                <w:rFonts w:hint="eastAsia" w:ascii="宋体" w:hAnsi="宋体" w:cs="宋体"/>
                <w:b/>
                <w:bCs w:val="0"/>
                <w:color w:val="auto"/>
                <w:sz w:val="21"/>
                <w:szCs w:val="21"/>
                <w:highlight w:val="none"/>
                <w:lang w:val="en-US" w:eastAsia="zh-CN"/>
              </w:rPr>
              <w:t xml:space="preserve">点包括但不限于</w:t>
            </w:r>
            <w:r>
              <w:rPr>
                <w:rFonts w:hint="eastAsia" w:ascii="宋体" w:hAnsi="宋体" w:eastAsia="宋体" w:cs="宋体"/>
                <w:b/>
                <w:bCs w:val="0"/>
                <w:color w:val="auto"/>
                <w:sz w:val="21"/>
                <w:szCs w:val="21"/>
                <w:highlight w:val="none"/>
                <w:lang w:val="en-US" w:eastAsia="zh-CN"/>
              </w:rPr>
              <w:t xml:space="preserve">：现场查勘情况（现场施工条件）</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val="0"/>
                <w:color w:val="auto"/>
                <w:sz w:val="21"/>
                <w:szCs w:val="21"/>
                <w:highlight w:val="none"/>
                <w:lang w:val="en-US" w:eastAsia="zh-CN"/>
              </w:rPr>
              <w:t xml:space="preserve">施工空间受限</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val="0"/>
                <w:color w:val="auto"/>
                <w:sz w:val="21"/>
                <w:szCs w:val="21"/>
                <w:highlight w:val="none"/>
                <w:lang w:val="en-US" w:eastAsia="zh-CN"/>
              </w:rPr>
              <w:t xml:space="preserve">配电箱移位措施（停电协调等）</w:t>
            </w:r>
            <w:r>
              <w:rPr>
                <w:rFonts w:hint="eastAsia" w:ascii="宋体" w:hAnsi="宋体" w:cs="宋体"/>
                <w:b/>
                <w:bCs w:val="0"/>
                <w:color w:val="auto"/>
                <w:sz w:val="21"/>
                <w:szCs w:val="21"/>
                <w:highlight w:val="none"/>
                <w:lang w:val="en-US" w:eastAsia="zh-CN"/>
              </w:rPr>
              <w:t xml:space="preserve">、</w:t>
            </w:r>
            <w:r>
              <w:rPr>
                <w:rFonts w:hint="eastAsia" w:ascii="宋体" w:hAnsi="宋体" w:eastAsia="宋体" w:cs="宋体"/>
                <w:b/>
                <w:bCs w:val="0"/>
                <w:color w:val="auto"/>
                <w:sz w:val="21"/>
                <w:szCs w:val="21"/>
                <w:highlight w:val="none"/>
                <w:lang w:val="en-US" w:eastAsia="zh-CN"/>
              </w:rPr>
              <w:t xml:space="preserve">过路地下电缆铺设措施</w:t>
            </w:r>
            <w:r>
              <w:rPr>
                <w:color w:val="auto"/>
                <w:highlight w:val="none"/>
              </w:rPr>
            </w:r>
          </w:p>
          <w:p>
            <w:pPr>
              <w:ind w:left="0" w:firstLine="0"/>
              <w:jc w:val="both"/>
              <w:keepLines w:val="0"/>
              <w:keepNext w:val="0"/>
              <w:pageBreakBefore w:val="0"/>
              <w:spacing w:line="312"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1.对关键施工技术、工艺及工程项目实施的重点、难点分析精准透彻，解决方案科学完备，针对性及有效性突出显著</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b w:val="0"/>
                <w:bCs/>
                <w:color w:val="auto"/>
                <w:sz w:val="21"/>
                <w:szCs w:val="21"/>
                <w:highlight w:val="none"/>
                <w:lang w:val="en-US" w:eastAsia="zh-CN"/>
              </w:rPr>
              <w:t xml:space="preserve">7分；</w:t>
            </w:r>
            <w:r>
              <w:rPr>
                <w:color w:val="auto"/>
                <w:highlight w:val="none"/>
              </w:rPr>
            </w:r>
          </w:p>
          <w:p>
            <w:pPr>
              <w:ind w:left="0" w:firstLine="0"/>
              <w:jc w:val="both"/>
              <w:keepLines w:val="0"/>
              <w:keepNext w:val="0"/>
              <w:pageBreakBefore w:val="0"/>
              <w:spacing w:line="312"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2.对关键施工技术、工艺及工程项目实施的重点、难点分析清晰到位，解决方案稳妥可行，针对性及有效性表现良好</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b w:val="0"/>
                <w:bCs/>
                <w:color w:val="auto"/>
                <w:sz w:val="21"/>
                <w:szCs w:val="21"/>
                <w:highlight w:val="none"/>
                <w:lang w:val="en-US" w:eastAsia="zh-CN"/>
              </w:rPr>
              <w:t xml:space="preserve">6分；</w:t>
            </w:r>
            <w:r>
              <w:rPr>
                <w:color w:val="auto"/>
                <w:highlight w:val="none"/>
              </w:rPr>
            </w:r>
          </w:p>
          <w:p>
            <w:pPr>
              <w:ind w:left="0" w:firstLine="0"/>
              <w:jc w:val="both"/>
              <w:keepLines w:val="0"/>
              <w:keepNext w:val="0"/>
              <w:pageBreakBefore w:val="0"/>
              <w:spacing w:line="312"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3.对关键施工技术、工艺及工程项目实施的重点、难点分析符合实际，解决方案基本可行，针对性及有效性达到要求</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b w:val="0"/>
                <w:bCs/>
                <w:color w:val="auto"/>
                <w:sz w:val="21"/>
                <w:szCs w:val="21"/>
                <w:highlight w:val="none"/>
                <w:lang w:val="en-US" w:eastAsia="zh-CN"/>
              </w:rPr>
              <w:t xml:space="preserve">分；</w:t>
            </w:r>
            <w:r>
              <w:rPr>
                <w:color w:val="auto"/>
                <w:highlight w:val="none"/>
              </w:rPr>
            </w:r>
          </w:p>
          <w:p>
            <w:pPr>
              <w:ind w:left="0" w:firstLine="0"/>
              <w:jc w:val="both"/>
              <w:keepLines w:val="0"/>
              <w:keepNext w:val="0"/>
              <w:pageBreakBefore w:val="0"/>
              <w:spacing w:line="312"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.对关键施工技术、工艺及工程项目实施的重点、难点分析零散片面，解决方案简陋粗放，针对性及有效性明显不足</w:t>
            </w:r>
            <w:r>
              <w:rPr>
                <w:rFonts w:hint="eastAsia" w:ascii="宋体" w:hAnsi="宋体" w:eastAsia="宋体" w:cs="宋体"/>
                <w:color w:val="auto"/>
                <w:sz w:val="21"/>
                <w:szCs w:val="21"/>
                <w:highlight w:val="none"/>
                <w:lang w:eastAsia="zh-CN"/>
              </w:rPr>
              <w:t xml:space="preserve">，得</w:t>
            </w:r>
            <w:r>
              <w:rPr>
                <w:rFonts w:hint="eastAsia" w:ascii="宋体" w:hAnsi="宋体" w:cs="宋体"/>
                <w:b w:val="0"/>
                <w:bCs/>
                <w:color w:val="auto"/>
                <w:sz w:val="21"/>
                <w:szCs w:val="21"/>
                <w:highlight w:val="none"/>
                <w:lang w:val="en-US" w:eastAsia="zh-CN"/>
              </w:rPr>
              <w:t xml:space="preserve">4</w:t>
            </w:r>
            <w:r>
              <w:rPr>
                <w:rFonts w:hint="eastAsia" w:ascii="宋体" w:hAnsi="宋体" w:eastAsia="宋体" w:cs="宋体"/>
                <w:b w:val="0"/>
                <w:bCs/>
                <w:color w:val="auto"/>
                <w:sz w:val="21"/>
                <w:szCs w:val="21"/>
                <w:highlight w:val="none"/>
                <w:lang w:val="en-US" w:eastAsia="zh-CN"/>
              </w:rPr>
              <w:t xml:space="preserve">分。</w:t>
            </w:r>
            <w:r>
              <w:rPr>
                <w:color w:val="auto"/>
                <w:highlight w:val="none"/>
              </w:rPr>
            </w:r>
          </w:p>
          <w:p>
            <w:pPr>
              <w:ind w:left="0" w:firstLine="0"/>
              <w:jc w:val="both"/>
              <w:keepLines w:val="0"/>
              <w:keepNext w:val="0"/>
              <w:pageBreakBefore w:val="0"/>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注：未见阐述不得分。</w:t>
            </w:r>
            <w:r>
              <w:rPr>
                <w:color w:val="auto"/>
                <w:highlight w:val="none"/>
              </w:rPr>
            </w:r>
          </w:p>
        </w:tc>
      </w:tr>
      <w:tr>
        <w:trPr>
          <w:jc w:val="center"/>
          <w:trHeight w:val="621"/>
        </w:trPr>
        <w:tc>
          <w:tcPr>
            <w:shd w:val="clear" w:color="auto" w:fill="auto"/>
            <w:tcW w:w="1447" w:type="dxa"/>
            <w:vAlign w:val="center"/>
            <w:textDirection w:val="lrTb"/>
            <w:noWrap w:val="false"/>
          </w:tcPr>
          <w:p>
            <w:pPr>
              <w:jc w:val="center"/>
              <w:keepLines w:val="0"/>
              <w:keepNext w:val="0"/>
              <w:pageBreakBefore w:val="0"/>
              <w:spacing w:line="312"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施工质量控制措施（</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rPr>
                <w:color w:val="auto"/>
                <w:highlight w:val="none"/>
              </w:rPr>
            </w:r>
          </w:p>
        </w:tc>
        <w:tc>
          <w:tcPr>
            <w:shd w:val="clear" w:color="auto" w:fill="auto"/>
            <w:tcW w:w="7152" w:type="dxa"/>
            <w:vAlign w:val="center"/>
            <w:textDirection w:val="lrTb"/>
            <w:noWrap w:val="false"/>
          </w:tcPr>
          <w:p>
            <w:pPr>
              <w:ind w:firstLine="0"/>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供应商针对本项目的施工质量控制，制定方案，内容包括但不限于：质量控制方案、实施流程、质控人员安排、质控考核方案</w:t>
            </w:r>
            <w:r>
              <w:rPr>
                <w:color w:val="auto"/>
                <w:highlight w:val="none"/>
              </w:rPr>
            </w:r>
          </w:p>
          <w:p>
            <w:pPr>
              <w:ind w:firstLine="0"/>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施工安装质量及安全保证措施科学完备、针对性突出、完全契合采购需求，得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color w:val="auto"/>
                <w:highlight w:val="none"/>
              </w:rPr>
            </w:r>
          </w:p>
          <w:p>
            <w:pPr>
              <w:ind w:firstLine="0"/>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2.施工安装质量及安全保证措施基本科学、针对性较强、基本契合采购需求，得4分；</w:t>
            </w:r>
            <w:r>
              <w:rPr>
                <w:color w:val="auto"/>
                <w:highlight w:val="none"/>
              </w:rPr>
            </w:r>
          </w:p>
          <w:p>
            <w:pPr>
              <w:ind w:firstLine="0"/>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3.施工安装质量及安全保证措施逻辑合理、针对性一般、部分契合采购需求，得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color w:val="auto"/>
                <w:highlight w:val="none"/>
              </w:rPr>
            </w:r>
          </w:p>
          <w:p>
            <w:pPr>
              <w:ind w:firstLine="0"/>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4.施工安装质量及安全保证措施存在明显缺陷、缺乏针对性、偏离采购需求</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rPr>
              <w:t xml:space="preserve">。</w:t>
            </w:r>
            <w:r>
              <w:rPr>
                <w:color w:val="auto"/>
                <w:highlight w:val="none"/>
              </w:rPr>
            </w:r>
          </w:p>
          <w:p>
            <w:pPr>
              <w:pStyle w:val="761"/>
              <w:ind w:left="0" w:firstLine="0"/>
              <w:jc w:val="both"/>
              <w:keepLines w:val="0"/>
              <w:keepNext w:val="0"/>
              <w:pageBreakBefore w:val="0"/>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注：未见阐述不得分。</w:t>
            </w:r>
            <w:r>
              <w:rPr>
                <w:color w:val="auto"/>
                <w:highlight w:val="none"/>
              </w:rPr>
            </w:r>
          </w:p>
        </w:tc>
      </w:tr>
    </w:tbl>
    <w:p>
      <w:pPr>
        <w:ind w:firstLine="480"/>
        <w:jc w:val="left"/>
        <w:spacing w:line="500" w:lineRule="exact"/>
        <w:rPr>
          <w:color w:val="auto"/>
          <w:sz w:val="24"/>
          <w:szCs w:val="24"/>
          <w:highlight w:val="none"/>
        </w:rPr>
      </w:pPr>
      <w:r>
        <w:rPr>
          <w:rFonts w:hint="eastAsia"/>
          <w:color w:val="auto"/>
          <w:sz w:val="24"/>
          <w:szCs w:val="24"/>
          <w:highlight w:val="none"/>
        </w:rPr>
        <w:t xml:space="preserve">（3）商务分（</w:t>
      </w:r>
      <w:r>
        <w:rPr>
          <w:rFonts w:hint="eastAsia"/>
          <w:color w:val="auto"/>
          <w:sz w:val="24"/>
          <w:szCs w:val="24"/>
          <w:highlight w:val="none"/>
          <w:lang w:val="en-US" w:eastAsia="zh-CN"/>
        </w:rPr>
        <w:t xml:space="preserve">33</w:t>
      </w:r>
      <w:r>
        <w:rPr>
          <w:rFonts w:hint="eastAsia"/>
          <w:color w:val="auto"/>
          <w:sz w:val="24"/>
          <w:szCs w:val="24"/>
          <w:highlight w:val="none"/>
        </w:rPr>
        <w:t xml:space="preserve">分）</w:t>
      </w:r>
      <w:r>
        <w:rPr>
          <w:color w:val="auto"/>
          <w:highlight w:val="none"/>
        </w:rPr>
      </w:r>
    </w:p>
    <w:tbl>
      <w:tblPr>
        <w:tblStyle w:val="71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414"/>
        </w:trPr>
        <w:tc>
          <w:tcPr>
            <w:tcW w:w="1660" w:type="dxa"/>
            <w:vAlign w:val="center"/>
            <w:textDirection w:val="lrTb"/>
            <w:noWrap w:val="false"/>
          </w:tcPr>
          <w:p>
            <w:pPr>
              <w:jc w:val="center"/>
              <w:keepLines w:val="0"/>
              <w:keepNext w:val="0"/>
              <w:pageBreakBefore w:val="0"/>
              <w:spacing w:line="312"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评审因素</w:t>
            </w:r>
            <w:r>
              <w:rPr>
                <w:color w:val="auto"/>
                <w:highlight w:val="none"/>
              </w:rPr>
            </w:r>
          </w:p>
        </w:tc>
        <w:tc>
          <w:tcPr>
            <w:tcW w:w="6845" w:type="dxa"/>
            <w:vAlign w:val="center"/>
            <w:textDirection w:val="lrTb"/>
            <w:noWrap w:val="false"/>
          </w:tcPr>
          <w:p>
            <w:pPr>
              <w:jc w:val="center"/>
              <w:keepLines w:val="0"/>
              <w:keepNext w:val="0"/>
              <w:pageBreakBefore w:val="0"/>
              <w:spacing w:line="312"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auto"/>
                <w:sz w:val="24"/>
                <w:szCs w:val="24"/>
                <w:highlight w:val="none"/>
              </w:rPr>
            </w:pPr>
            <w:r>
              <w:rPr>
                <w:rFonts w:hint="eastAsia" w:ascii="黑体" w:hAnsi="黑体" w:eastAsia="黑体" w:cs="Times New Roman"/>
                <w:color w:val="auto"/>
                <w:sz w:val="24"/>
                <w:szCs w:val="24"/>
                <w:highlight w:val="none"/>
              </w:rPr>
              <w:t xml:space="preserve">评审标准</w:t>
            </w:r>
            <w:r>
              <w:rPr>
                <w:color w:val="auto"/>
                <w:highlight w:val="none"/>
              </w:rPr>
            </w:r>
          </w:p>
        </w:tc>
      </w:tr>
      <w:tr>
        <w:trPr>
          <w:jc w:val="center"/>
          <w:trHeight w:val="621"/>
        </w:trPr>
        <w:tc>
          <w:tcPr>
            <w:tcW w:w="1660" w:type="dxa"/>
            <w:vAlign w:val="center"/>
            <w:textDirection w:val="lrTb"/>
            <w:noWrap w:val="false"/>
          </w:tcPr>
          <w:p>
            <w:pPr>
              <w:jc w:val="center"/>
              <w:keepLines w:val="0"/>
              <w:keepNext w:val="0"/>
              <w:pageBreakBefore w:val="0"/>
              <w:spacing w:line="312"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企业荣誉</w:t>
            </w:r>
            <w:r>
              <w:rPr>
                <w:color w:val="auto"/>
                <w:highlight w:val="none"/>
              </w:rPr>
            </w:r>
          </w:p>
          <w:p>
            <w:pPr>
              <w:jc w:val="center"/>
              <w:keepLines w:val="0"/>
              <w:keepNext w:val="0"/>
              <w:pageBreakBefore w:val="0"/>
              <w:spacing w:line="312" w:lineRule="auto"/>
              <w:rPr>
                <w:rFonts w:hint="eastAsia" w:ascii="黑体" w:hAnsi="黑体" w:eastAsia="黑体" w:cs="Times New Roman"/>
                <w:b w:val="0"/>
                <w:bCs w:val="0"/>
                <w:color w:val="auto"/>
                <w:sz w:val="24"/>
                <w:szCs w:val="24"/>
                <w:highlight w:val="none"/>
              </w:rPr>
            </w:pPr>
            <w:r>
              <w:rPr>
                <w:rFonts w:hint="eastAsia" w:ascii="宋体" w:hAnsi="宋体" w:cs="宋体"/>
                <w:b w:val="0"/>
                <w:bCs w:val="0"/>
                <w:color w:val="auto"/>
                <w:sz w:val="21"/>
                <w:szCs w:val="21"/>
                <w:highlight w:val="none"/>
              </w:rPr>
              <w:t xml:space="preserve">（6分）</w:t>
            </w:r>
            <w:r>
              <w:rPr>
                <w:color w:val="auto"/>
                <w:highlight w:val="none"/>
              </w:rPr>
            </w:r>
          </w:p>
        </w:tc>
        <w:tc>
          <w:tcPr>
            <w:tcW w:w="6845" w:type="dxa"/>
            <w:vAlign w:val="top"/>
            <w:textDirection w:val="lrTb"/>
            <w:noWrap w:val="false"/>
          </w:tcPr>
          <w:p>
            <w:pPr>
              <w:jc w:val="left"/>
              <w:spacing w:line="400" w:lineRule="exact"/>
              <w:rPr>
                <w:rFonts w:ascii="宋体" w:hAnsi="宋体"/>
                <w:bCs/>
                <w:color w:val="auto"/>
                <w:szCs w:val="21"/>
                <w:highlight w:val="none"/>
              </w:rPr>
            </w:pPr>
            <w:r>
              <w:rPr>
                <w:rFonts w:hint="eastAsia" w:ascii="宋体" w:hAnsi="宋体"/>
                <w:bCs/>
                <w:color w:val="auto"/>
                <w:szCs w:val="21"/>
                <w:highlight w:val="none"/>
              </w:rPr>
              <w:t xml:space="preserve">供应商提供有效的质量管理体系认证、环境管理体系认证、职业健康安全管理体系认证，有一个得2分，最高6分。</w:t>
            </w:r>
            <w:r>
              <w:rPr>
                <w:color w:val="auto"/>
                <w:highlight w:val="none"/>
              </w:rPr>
            </w:r>
          </w:p>
          <w:p>
            <w:pPr>
              <w:jc w:val="left"/>
              <w:spacing w:line="400" w:lineRule="exact"/>
              <w:rPr>
                <w:rFonts w:hint="eastAsia" w:ascii="黑体" w:hAnsi="黑体" w:eastAsia="黑体" w:cs="Times New Roman"/>
                <w:color w:val="auto"/>
                <w:sz w:val="24"/>
                <w:szCs w:val="24"/>
                <w:highlight w:val="none"/>
              </w:rPr>
            </w:pPr>
            <w:r>
              <w:rPr>
                <w:rFonts w:hint="eastAsia" w:ascii="宋体" w:hAnsi="宋体" w:eastAsia="宋体" w:cs="宋体"/>
                <w:b/>
                <w:bCs/>
                <w:color w:val="auto"/>
                <w:szCs w:val="21"/>
                <w:highlight w:val="none"/>
                <w:lang w:val="en-US" w:eastAsia="zh-CN"/>
              </w:rPr>
              <w:t xml:space="preserve">注：提供证书查询网站截图（国家市场监督总局，网址http://cx.cnca.cn/CertECloud/index/index/page）及相关证书扫描件上传响应文件，未提供或提供不全不得分。</w:t>
            </w:r>
            <w:r>
              <w:rPr>
                <w:color w:val="auto"/>
                <w:highlight w:val="none"/>
              </w:rPr>
            </w:r>
          </w:p>
        </w:tc>
      </w:tr>
      <w:tr>
        <w:trPr>
          <w:jc w:val="center"/>
          <w:trHeight w:val="621"/>
        </w:trPr>
        <w:tc>
          <w:tcPr>
            <w:tcW w:w="1660" w:type="dxa"/>
            <w:vAlign w:val="center"/>
            <w:textDirection w:val="lrTb"/>
            <w:noWrap w:val="false"/>
          </w:tcPr>
          <w:p>
            <w:pPr>
              <w:jc w:val="center"/>
              <w:keepLines w:val="0"/>
              <w:keepNext w:val="0"/>
              <w:pageBreakBefore w:val="0"/>
              <w:spacing w:line="312"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业绩</w:t>
            </w:r>
            <w:r>
              <w:rPr>
                <w:color w:val="auto"/>
                <w:highlight w:val="none"/>
              </w:rPr>
            </w:r>
          </w:p>
          <w:p>
            <w:pPr>
              <w:jc w:val="center"/>
              <w:keepLines w:val="0"/>
              <w:keepNext w:val="0"/>
              <w:pageBreakBefore w:val="0"/>
              <w:spacing w:line="312" w:lineRule="auto"/>
              <w:rPr>
                <w:b w:val="0"/>
                <w:bCs w:val="0"/>
                <w:color w:val="auto"/>
                <w:highlight w:val="none"/>
              </w:rPr>
            </w:pPr>
            <w:r>
              <w:rPr>
                <w:rFonts w:hint="eastAsia" w:ascii="宋体" w:hAnsi="宋体" w:cs="宋体"/>
                <w:b w:val="0"/>
                <w:bCs w:val="0"/>
                <w:color w:val="auto"/>
                <w:sz w:val="21"/>
                <w:szCs w:val="21"/>
                <w:highlight w:val="none"/>
              </w:rPr>
              <w:t xml:space="preserve">（10分）</w:t>
            </w:r>
            <w:r>
              <w:rPr>
                <w:color w:val="auto"/>
                <w:highlight w:val="none"/>
              </w:rPr>
            </w:r>
          </w:p>
        </w:tc>
        <w:tc>
          <w:tcPr>
            <w:tcW w:w="6845" w:type="dxa"/>
            <w:vAlign w:val="top"/>
            <w:textDirection w:val="lrTb"/>
            <w:noWrap w:val="false"/>
          </w:tcPr>
          <w:p>
            <w:pPr>
              <w:ind w:firstLine="420"/>
              <w:keepLines w:val="0"/>
              <w:keepNext w:val="0"/>
              <w:pageBreakBefore w:val="0"/>
              <w:spacing w:line="312"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自 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 1 月 1 日以来，</w:t>
            </w:r>
            <w:r>
              <w:rPr>
                <w:rFonts w:hint="eastAsia" w:ascii="宋体" w:hAnsi="宋体" w:cs="宋体"/>
                <w:color w:val="auto"/>
                <w:sz w:val="21"/>
                <w:szCs w:val="21"/>
                <w:highlight w:val="none"/>
                <w:lang w:val="en-US" w:eastAsia="zh-CN"/>
              </w:rPr>
              <w:t xml:space="preserve">供应商承接过电力系统安装工程或电力增容改造等相关业绩</w:t>
            </w:r>
            <w:r>
              <w:rPr>
                <w:rFonts w:hint="eastAsia" w:ascii="宋体" w:hAnsi="宋体" w:cs="宋体"/>
                <w:color w:val="auto"/>
                <w:sz w:val="21"/>
                <w:szCs w:val="21"/>
                <w:highlight w:val="none"/>
              </w:rPr>
              <w:t xml:space="preserve">，每提供一个得 2分，本项最高得10分。 </w:t>
            </w:r>
            <w:r>
              <w:rPr>
                <w:color w:val="auto"/>
                <w:highlight w:val="none"/>
              </w:rPr>
            </w:r>
          </w:p>
          <w:p>
            <w:pPr>
              <w:ind w:firstLine="422"/>
              <w:keepLines w:val="0"/>
              <w:keepNext w:val="0"/>
              <w:pageBreakBefore w:val="0"/>
              <w:spacing w:line="312" w:lineRule="auto"/>
              <w:widowControl/>
              <w:rPr>
                <w:color w:val="auto"/>
                <w:highlight w:val="none"/>
              </w:rPr>
            </w:pPr>
            <w:r>
              <w:rPr>
                <w:rFonts w:hint="eastAsia" w:ascii="宋体" w:hAnsi="宋体" w:cs="宋体"/>
                <w:b/>
                <w:bCs/>
                <w:color w:val="auto"/>
                <w:sz w:val="21"/>
                <w:szCs w:val="21"/>
                <w:highlight w:val="none"/>
              </w:rPr>
              <w:t xml:space="preserve">注：时间以合同签订时间为准，证明材料提供合同文件、竣工验收合格证明的复印件加盖供应商公章并上传至电子响应文件。合同需反映相关信息，以上证明材料提供不全或未提供的不得分。 合同类似，由投标小组统一认定后给予得分。</w:t>
            </w:r>
            <w:r>
              <w:rPr>
                <w:color w:val="auto"/>
                <w:highlight w:val="none"/>
              </w:rPr>
            </w:r>
          </w:p>
        </w:tc>
      </w:tr>
      <w:tr>
        <w:trPr>
          <w:jc w:val="center"/>
          <w:trHeight w:val="621"/>
        </w:trPr>
        <w:tc>
          <w:tcPr>
            <w:tcW w:w="1660" w:type="dxa"/>
            <w:vAlign w:val="center"/>
            <w:textDirection w:val="lrTb"/>
            <w:noWrap w:val="false"/>
          </w:tcPr>
          <w:p>
            <w:pPr>
              <w:jc w:val="center"/>
              <w:keepLines w:val="0"/>
              <w:keepNext w:val="0"/>
              <w:pageBreakBefore w:val="0"/>
              <w:spacing w:line="312"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团队人员</w:t>
            </w:r>
            <w:r>
              <w:rPr>
                <w:color w:val="auto"/>
                <w:highlight w:val="none"/>
              </w:rPr>
            </w:r>
          </w:p>
          <w:p>
            <w:pPr>
              <w:jc w:val="center"/>
              <w:keepLines w:val="0"/>
              <w:keepNext w:val="0"/>
              <w:pageBreakBefore w:val="0"/>
              <w:spacing w:line="312" w:lineRule="auto"/>
              <w:rPr>
                <w:b w:val="0"/>
                <w:bCs w:val="0"/>
                <w:color w:val="auto"/>
                <w:highlight w:val="none"/>
              </w:rPr>
            </w:pP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9</w:t>
            </w:r>
            <w:r>
              <w:rPr>
                <w:rFonts w:hint="eastAsia" w:ascii="宋体" w:hAnsi="宋体" w:cs="宋体"/>
                <w:b w:val="0"/>
                <w:bCs w:val="0"/>
                <w:color w:val="auto"/>
                <w:sz w:val="21"/>
                <w:szCs w:val="21"/>
                <w:highlight w:val="none"/>
              </w:rPr>
              <w:t xml:space="preserve">分）</w:t>
            </w:r>
            <w:r>
              <w:rPr>
                <w:color w:val="auto"/>
                <w:highlight w:val="none"/>
              </w:rPr>
            </w:r>
          </w:p>
        </w:tc>
        <w:tc>
          <w:tcPr>
            <w:tcW w:w="6845" w:type="dxa"/>
            <w:vAlign w:val="top"/>
            <w:textDirection w:val="lrTb"/>
            <w:noWrap w:val="false"/>
          </w:tcPr>
          <w:p>
            <w:pPr>
              <w:ind w:firstLine="420"/>
              <w:keepLines w:val="0"/>
              <w:keepNext w:val="0"/>
              <w:pageBreakBefore w:val="0"/>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1、项目负责人具有中级工程师职称（</w:t>
            </w:r>
            <w:r>
              <w:rPr>
                <w:rFonts w:hint="eastAsia" w:ascii="宋体" w:hAnsi="宋体" w:cs="宋体"/>
                <w:color w:val="auto"/>
                <w:sz w:val="21"/>
                <w:szCs w:val="21"/>
                <w:highlight w:val="none"/>
                <w:lang w:val="en-US" w:eastAsia="zh-CN"/>
              </w:rPr>
              <w:t xml:space="preserve">机电</w:t>
            </w:r>
            <w:r>
              <w:rPr>
                <w:rFonts w:hint="eastAsia" w:ascii="宋体" w:hAnsi="宋体" w:cs="宋体"/>
                <w:color w:val="auto"/>
                <w:sz w:val="21"/>
                <w:szCs w:val="21"/>
                <w:highlight w:val="none"/>
              </w:rPr>
              <w:t xml:space="preserve">工程等相关专业）的得1分，具有高级</w:t>
            </w:r>
            <w:r>
              <w:rPr>
                <w:rFonts w:hint="eastAsia" w:ascii="宋体" w:hAnsi="宋体" w:cs="宋体"/>
                <w:b/>
                <w:bCs/>
                <w:color w:val="auto"/>
                <w:sz w:val="21"/>
                <w:szCs w:val="21"/>
                <w:highlight w:val="none"/>
              </w:rPr>
              <w:t xml:space="preserve">及以上</w:t>
            </w:r>
            <w:r>
              <w:rPr>
                <w:rFonts w:hint="eastAsia" w:ascii="宋体" w:hAnsi="宋体" w:cs="宋体"/>
                <w:color w:val="auto"/>
                <w:sz w:val="21"/>
                <w:szCs w:val="21"/>
                <w:highlight w:val="none"/>
              </w:rPr>
              <w:t xml:space="preserve">职称的得2分。</w:t>
            </w:r>
            <w:r>
              <w:rPr>
                <w:color w:val="auto"/>
                <w:highlight w:val="none"/>
              </w:rPr>
            </w:r>
          </w:p>
          <w:p>
            <w:pPr>
              <w:ind w:firstLine="420"/>
              <w:keepLines w:val="0"/>
              <w:keepNext w:val="0"/>
              <w:pageBreakBefore w:val="0"/>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2、项目技术负责人具有中级工程师职称（</w:t>
            </w:r>
            <w:r>
              <w:rPr>
                <w:rFonts w:hint="eastAsia" w:ascii="宋体" w:hAnsi="宋体" w:cs="宋体"/>
                <w:color w:val="auto"/>
                <w:sz w:val="21"/>
                <w:szCs w:val="21"/>
                <w:highlight w:val="none"/>
                <w:lang w:val="en-US" w:eastAsia="zh-CN"/>
              </w:rPr>
              <w:t xml:space="preserve">机电</w:t>
            </w:r>
            <w:r>
              <w:rPr>
                <w:rFonts w:hint="eastAsia" w:ascii="宋体" w:hAnsi="宋体" w:cs="宋体"/>
                <w:color w:val="auto"/>
                <w:sz w:val="21"/>
                <w:szCs w:val="21"/>
                <w:highlight w:val="none"/>
              </w:rPr>
              <w:t xml:space="preserve">工程等相关专业）的得1分，具有高级</w:t>
            </w:r>
            <w:r>
              <w:rPr>
                <w:rFonts w:hint="eastAsia" w:ascii="宋体" w:hAnsi="宋体" w:cs="宋体"/>
                <w:b/>
                <w:bCs/>
                <w:color w:val="auto"/>
                <w:sz w:val="21"/>
                <w:szCs w:val="21"/>
                <w:highlight w:val="none"/>
              </w:rPr>
              <w:t xml:space="preserve">及以上</w:t>
            </w:r>
            <w:r>
              <w:rPr>
                <w:rFonts w:hint="eastAsia" w:ascii="宋体" w:hAnsi="宋体" w:cs="宋体"/>
                <w:color w:val="auto"/>
                <w:sz w:val="21"/>
                <w:szCs w:val="21"/>
                <w:highlight w:val="none"/>
              </w:rPr>
              <w:t xml:space="preserve">职称的得2分。</w:t>
            </w:r>
            <w:r>
              <w:rPr>
                <w:color w:val="auto"/>
                <w:highlight w:val="none"/>
              </w:rPr>
            </w:r>
          </w:p>
          <w:p>
            <w:pPr>
              <w:ind w:firstLine="420"/>
              <w:keepLines w:val="0"/>
              <w:keepNext w:val="0"/>
              <w:pageBreakBefore w:val="0"/>
              <w:spacing w:line="312" w:lineRule="auto"/>
              <w:rPr>
                <w:rFonts w:hint="default" w:ascii="宋体" w:hAnsi="宋体" w:cs="宋体"/>
                <w:color w:val="auto"/>
                <w:sz w:val="21"/>
                <w:szCs w:val="21"/>
                <w:highlight w:val="none"/>
              </w:rPr>
            </w:pPr>
            <w:r>
              <w:rPr>
                <w:rFonts w:hint="eastAsia" w:ascii="宋体" w:hAnsi="宋体" w:cs="宋体"/>
                <w:color w:val="auto"/>
                <w:sz w:val="21"/>
                <w:szCs w:val="21"/>
                <w:highlight w:val="none"/>
              </w:rPr>
              <w:t xml:space="preserve">3、投标供应商拟投入项目组成员中（不含项目负责人和技术负责人）具有质量员、施工员、安全员、资料员、材料员</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每有1人得1分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最高得5分</w:t>
            </w:r>
            <w:r>
              <w:rPr>
                <w:rFonts w:hint="eastAsia" w:ascii="宋体" w:hAnsi="宋体" w:cs="宋体"/>
                <w:color w:val="auto"/>
                <w:sz w:val="21"/>
                <w:szCs w:val="21"/>
                <w:highlight w:val="none"/>
                <w:lang w:eastAsia="zh-CN"/>
              </w:rPr>
              <w:t xml:space="preserve">；</w:t>
            </w:r>
            <w:r>
              <w:rPr>
                <w:color w:val="auto"/>
                <w:highlight w:val="none"/>
              </w:rPr>
            </w:r>
          </w:p>
          <w:p>
            <w:pPr>
              <w:ind w:firstLine="420"/>
              <w:keepLines w:val="0"/>
              <w:keepNext w:val="0"/>
              <w:pageBreakBefore w:val="0"/>
              <w:spacing w:line="312" w:lineRule="auto"/>
              <w:widowControl/>
              <w:rPr>
                <w:color w:val="auto"/>
                <w:highlight w:val="none"/>
              </w:rPr>
            </w:pPr>
            <w:r>
              <w:rPr>
                <w:rFonts w:hint="eastAsia" w:ascii="宋体" w:hAnsi="宋体" w:cs="宋体"/>
                <w:color w:val="auto"/>
                <w:sz w:val="21"/>
                <w:szCs w:val="21"/>
                <w:highlight w:val="none"/>
              </w:rPr>
              <w:t xml:space="preserve">注：</w:t>
            </w:r>
            <w:r>
              <w:rPr>
                <w:rFonts w:hint="eastAsia" w:ascii="宋体" w:hAnsi="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有效的证书</w:t>
            </w:r>
            <w:r>
              <w:rPr>
                <w:rFonts w:hint="eastAsia" w:ascii="宋体" w:hAnsi="宋体"/>
                <w:b/>
                <w:bCs w:val="0"/>
                <w:color w:val="auto"/>
                <w:szCs w:val="21"/>
                <w:highlight w:val="none"/>
                <w:lang w:val="en-US" w:eastAsia="zh-CN"/>
              </w:rPr>
              <w:t xml:space="preserve">原件彩色扫描件</w:t>
            </w:r>
            <w:r>
              <w:rPr>
                <w:rFonts w:hint="eastAsia" w:ascii="宋体" w:hAnsi="宋体" w:cs="宋体"/>
                <w:b/>
                <w:bCs/>
                <w:color w:val="auto"/>
                <w:sz w:val="21"/>
                <w:szCs w:val="21"/>
                <w:highlight w:val="none"/>
                <w:lang w:val="en-US" w:eastAsia="zh-CN"/>
              </w:rPr>
              <w:t xml:space="preserve">及</w:t>
            </w:r>
            <w:r>
              <w:rPr>
                <w:rFonts w:hint="eastAsia" w:ascii="宋体" w:hAnsi="宋体" w:cs="宋体"/>
                <w:b/>
                <w:bCs/>
                <w:color w:val="auto"/>
                <w:sz w:val="21"/>
                <w:szCs w:val="21"/>
                <w:highlight w:val="none"/>
              </w:rPr>
              <w:t xml:space="preserve">供应商递交响应文件截止日前三个月中任意一个月为其缴纳的社保证明扫描件上传在</w:t>
            </w:r>
            <w:r>
              <w:rPr>
                <w:rFonts w:hint="eastAsia" w:ascii="宋体" w:hAnsi="宋体" w:cs="宋体"/>
                <w:b/>
                <w:bCs/>
                <w:color w:val="auto"/>
                <w:sz w:val="21"/>
                <w:szCs w:val="21"/>
                <w:highlight w:val="none"/>
                <w:lang w:val="en-US" w:eastAsia="zh-CN"/>
              </w:rPr>
              <w:t xml:space="preserve">电子响应</w:t>
            </w:r>
            <w:r>
              <w:rPr>
                <w:rFonts w:hint="eastAsia" w:ascii="宋体" w:hAnsi="宋体" w:cs="宋体"/>
                <w:b/>
                <w:bCs/>
                <w:color w:val="auto"/>
                <w:sz w:val="21"/>
                <w:szCs w:val="21"/>
                <w:highlight w:val="none"/>
              </w:rPr>
              <w:t xml:space="preserve">文件中，</w:t>
            </w:r>
            <w:r>
              <w:rPr>
                <w:rFonts w:hint="eastAsia" w:ascii="宋体" w:hAnsi="宋体"/>
                <w:b/>
                <w:bCs w:val="0"/>
                <w:color w:val="auto"/>
                <w:szCs w:val="21"/>
                <w:highlight w:val="none"/>
                <w:lang w:val="en-US" w:eastAsia="zh-CN"/>
              </w:rPr>
              <w:t xml:space="preserve">以上材料未提供或提供不全的不得分，上述人员不得兼职、重复。</w:t>
            </w:r>
            <w:r>
              <w:rPr>
                <w:color w:val="auto"/>
                <w:highlight w:val="none"/>
              </w:rPr>
            </w:r>
          </w:p>
        </w:tc>
      </w:tr>
      <w:tr>
        <w:trPr>
          <w:jc w:val="center"/>
          <w:trHeight w:val="621"/>
        </w:trPr>
        <w:tc>
          <w:tcPr>
            <w:tcW w:w="1660" w:type="dxa"/>
            <w:vAlign w:val="center"/>
            <w:textDirection w:val="lrTb"/>
            <w:noWrap w:val="false"/>
          </w:tcPr>
          <w:p>
            <w:pPr>
              <w:ind w:left="0" w:right="0"/>
              <w:jc w:val="center"/>
              <w:keepLines w:val="0"/>
              <w:keepNext w:val="0"/>
              <w:pageBreakBefore w:val="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售后服务</w:t>
            </w:r>
            <w:r>
              <w:rPr>
                <w:color w:val="auto"/>
                <w:highlight w:val="none"/>
              </w:rPr>
            </w:r>
          </w:p>
          <w:p>
            <w:pPr>
              <w:ind w:left="0" w:right="0"/>
              <w:jc w:val="center"/>
              <w:keepLines w:val="0"/>
              <w:keepNext w:val="0"/>
              <w:pageBreakBefore w:val="0"/>
              <w:spacing w:line="312" w:lineRule="auto"/>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2分</w:t>
            </w:r>
            <w:r>
              <w:rPr>
                <w:rFonts w:hint="eastAsia" w:ascii="宋体" w:hAnsi="宋体" w:eastAsia="宋体" w:cs="宋体"/>
                <w:color w:val="auto"/>
                <w:sz w:val="21"/>
                <w:szCs w:val="21"/>
                <w:highlight w:val="none"/>
                <w:lang w:eastAsia="zh-CN"/>
              </w:rPr>
              <w:t xml:space="preserve">）</w:t>
            </w:r>
            <w:r>
              <w:rPr>
                <w:color w:val="auto"/>
                <w:highlight w:val="none"/>
              </w:rPr>
            </w:r>
          </w:p>
        </w:tc>
        <w:tc>
          <w:tcPr>
            <w:tcW w:w="6845" w:type="dxa"/>
            <w:vAlign w:val="center"/>
            <w:textDirection w:val="lrTb"/>
            <w:noWrap w:val="false"/>
          </w:tcPr>
          <w:p>
            <w:pPr>
              <w:ind w:left="0" w:right="0" w:firstLine="420"/>
              <w:keepLines w:val="0"/>
              <w:keepNext w:val="0"/>
              <w:pageBreakBefore w:val="0"/>
              <w:spacing w:line="312" w:lineRule="auto"/>
              <w:widowControl w:val="off"/>
              <w:rPr>
                <w:rFonts w:hint="default" w:ascii="宋体" w:hAnsi="宋体" w:cs="宋体"/>
                <w:color w:val="auto"/>
                <w:sz w:val="21"/>
                <w:szCs w:val="21"/>
                <w:highlight w:val="none"/>
              </w:rPr>
            </w:pPr>
            <w:r>
              <w:rPr>
                <w:rFonts w:hint="eastAsia" w:ascii="宋体" w:hAnsi="宋体" w:cs="宋体"/>
                <w:bCs/>
                <w:color w:val="auto"/>
                <w:sz w:val="21"/>
                <w:szCs w:val="21"/>
                <w:highlight w:val="none"/>
                <w:lang w:val="en-US" w:eastAsia="zh-CN" w:bidi="ar-SA"/>
              </w:rPr>
              <w:t xml:space="preserve">供应商</w:t>
            </w:r>
            <w:r>
              <w:rPr>
                <w:rFonts w:hint="eastAsia" w:ascii="宋体" w:hAnsi="宋体" w:eastAsia="宋体" w:cs="宋体"/>
                <w:bCs/>
                <w:color w:val="auto"/>
                <w:sz w:val="21"/>
                <w:szCs w:val="21"/>
                <w:highlight w:val="none"/>
                <w:lang w:val="en-US" w:eastAsia="zh-CN" w:bidi="ar-SA"/>
              </w:rPr>
              <w:t xml:space="preserve">书面承诺如在使用过程中发生质量问题，接到采购人通知起2小时内响应，并在48小时内完成修复，</w:t>
            </w:r>
            <w:r>
              <w:rPr>
                <w:rFonts w:hint="eastAsia" w:ascii="宋体" w:hAnsi="宋体" w:eastAsia="宋体" w:cs="宋体"/>
                <w:b w:val="0"/>
                <w:bCs w:val="0"/>
                <w:color w:val="auto"/>
                <w:sz w:val="21"/>
                <w:szCs w:val="21"/>
                <w:highlight w:val="none"/>
                <w:lang w:val="en-US" w:eastAsia="zh-CN" w:bidi="ar-SA"/>
              </w:rPr>
              <w:t xml:space="preserve">得2分，承诺书格式自拟，未提供承诺书的不得分。</w:t>
            </w:r>
            <w:r>
              <w:rPr>
                <w:color w:val="auto"/>
                <w:highlight w:val="none"/>
              </w:rPr>
            </w:r>
          </w:p>
        </w:tc>
      </w:tr>
      <w:tr>
        <w:trPr>
          <w:jc w:val="center"/>
          <w:trHeight w:val="621"/>
        </w:trPr>
        <w:tc>
          <w:tcPr>
            <w:tcW w:w="1660" w:type="dxa"/>
            <w:vAlign w:val="center"/>
            <w:textDirection w:val="lrTb"/>
            <w:noWrap w:val="false"/>
          </w:tcPr>
          <w:p>
            <w:pPr>
              <w:ind w:left="0" w:right="0"/>
              <w:jc w:val="center"/>
              <w:keepLines w:val="0"/>
              <w:keepNext w:val="0"/>
              <w:pageBreakBefore w:val="0"/>
              <w:spacing w:line="312"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设备质保期</w:t>
            </w:r>
            <w:r>
              <w:rPr>
                <w:color w:val="auto"/>
                <w:highlight w:val="none"/>
              </w:rPr>
            </w:r>
          </w:p>
          <w:p>
            <w:pPr>
              <w:ind w:left="0" w:right="0"/>
              <w:jc w:val="center"/>
              <w:keepLines w:val="0"/>
              <w:keepNext w:val="0"/>
              <w:pageBreakBefore w:val="0"/>
              <w:spacing w:line="312"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（6分）</w:t>
            </w:r>
            <w:r>
              <w:rPr>
                <w:color w:val="auto"/>
                <w:highlight w:val="none"/>
              </w:rPr>
            </w:r>
          </w:p>
        </w:tc>
        <w:tc>
          <w:tcPr>
            <w:tcW w:w="6845" w:type="dxa"/>
            <w:vAlign w:val="center"/>
            <w:textDirection w:val="lrTb"/>
            <w:noWrap w:val="false"/>
          </w:tcPr>
          <w:p>
            <w:pPr>
              <w:ind w:left="0" w:right="0" w:firstLine="420"/>
              <w:keepLines w:val="0"/>
              <w:keepNext w:val="0"/>
              <w:pageBreakBefore w:val="0"/>
              <w:spacing w:line="312" w:lineRule="auto"/>
              <w:widowControl w:val="off"/>
              <w:rPr>
                <w:rFonts w:hint="default"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bidi="ar-SA"/>
              </w:rPr>
              <w:t xml:space="preserve">在项目需求免费质保期的基础上，每增加一年，得2分，最高得6分。</w:t>
            </w:r>
            <w:r>
              <w:rPr>
                <w:rFonts w:hint="eastAsia" w:ascii="宋体" w:hAnsi="宋体" w:eastAsia="宋体" w:cs="宋体"/>
                <w:b w:val="0"/>
                <w:bCs w:val="0"/>
                <w:color w:val="auto"/>
                <w:sz w:val="21"/>
                <w:szCs w:val="21"/>
                <w:highlight w:val="none"/>
                <w:lang w:val="en-US" w:eastAsia="zh-CN" w:bidi="ar-SA"/>
              </w:rPr>
              <w:t xml:space="preserve">承诺书格式自拟，未提供承诺书的不得分。</w:t>
            </w:r>
            <w:r>
              <w:rPr>
                <w:color w:val="auto"/>
                <w:highlight w:val="none"/>
              </w:rPr>
            </w:r>
          </w:p>
        </w:tc>
      </w:tr>
    </w:tbl>
    <w:p>
      <w:pPr>
        <w:pStyle w:val="949"/>
        <w:spacing w:line="360" w:lineRule="auto"/>
        <w:tabs>
          <w:tab w:val="left" w:pos="720" w:leader="none"/>
        </w:tabs>
        <w:rPr>
          <w:rFonts w:hint="default" w:ascii="宋体" w:hAnsi="宋体" w:eastAsia="宋体"/>
          <w:b w:val="0"/>
          <w:bCs w:val="0"/>
          <w:color w:val="auto"/>
          <w:sz w:val="24"/>
          <w:szCs w:val="24"/>
          <w:highlight w:val="none"/>
          <w:shd w:val="clear" w:color="auto" w:fill="auto"/>
        </w:rPr>
      </w:pPr>
      <w:r>
        <w:rPr>
          <w:rFonts w:hint="eastAsia" w:ascii="宋体" w:hAnsi="宋体" w:eastAsia="宋体"/>
          <w:b w:val="0"/>
          <w:bCs w:val="0"/>
          <w:color w:val="auto"/>
          <w:sz w:val="24"/>
          <w:szCs w:val="24"/>
          <w:highlight w:val="none"/>
          <w:shd w:val="clear" w:color="auto" w:fill="auto"/>
          <w:lang w:val="en-US" w:eastAsia="zh-CN"/>
        </w:rPr>
        <w:t xml:space="preserve">注：评审标准要求提供证书等证明材料的，供应商须提供原件扫描件上传响应文件中。</w:t>
      </w:r>
      <w:r>
        <w:rPr>
          <w:color w:val="auto"/>
          <w:highlight w:val="none"/>
        </w:rPr>
      </w:r>
    </w:p>
    <w:p>
      <w:pPr>
        <w:pStyle w:val="949"/>
        <w:ind w:firstLine="480"/>
        <w:jc w:val="left"/>
        <w:keepLines w:val="0"/>
        <w:keepNext w:val="0"/>
        <w:pageBreakBefore w:val="0"/>
        <w:spacing w:line="360" w:lineRule="auto"/>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rPr>
          <w:color w:val="auto"/>
          <w:highlight w:val="none"/>
        </w:rPr>
      </w:r>
    </w:p>
    <w:p>
      <w:pPr>
        <w:pStyle w:val="949"/>
        <w:keepLines w:val="0"/>
        <w:keepNext w:val="0"/>
        <w:pageBreakBefore w:val="0"/>
        <w:spacing w:line="360" w:lineRule="auto"/>
        <w:widowControl/>
        <w:tabs>
          <w:tab w:val="left" w:pos="72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、成交标准：</w:t>
      </w:r>
      <w:r>
        <w:rPr>
          <w:color w:val="auto"/>
          <w:highlight w:val="none"/>
        </w:rPr>
      </w:r>
    </w:p>
    <w:p>
      <w:pPr>
        <w:pStyle w:val="949"/>
        <w:ind w:firstLine="480"/>
        <w:keepLines w:val="0"/>
        <w:keepNext w:val="0"/>
        <w:pageBreakBefore w:val="0"/>
        <w:spacing w:line="360" w:lineRule="auto"/>
        <w:widowControl/>
        <w:tabs>
          <w:tab w:val="left" w:pos="72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hint="eastAsia" w:ascii="宋体" w:hAnsi="宋体" w:eastAsia="宋体" w:cs="宋体"/>
          <w:color w:val="auto"/>
          <w:sz w:val="24"/>
          <w:szCs w:val="24"/>
          <w:highlight w:val="none"/>
        </w:rPr>
        <w:t xml:space="preserve">评审得分且最后报价相同的，按照技术指标优劣顺序推荐</w:t>
      </w:r>
      <w:r>
        <w:rPr>
          <w:rFonts w:hint="eastAsia" w:ascii="宋体" w:hAnsi="宋体" w:eastAsia="宋体" w:cs="宋体"/>
          <w:color w:val="auto"/>
          <w:sz w:val="24"/>
          <w:szCs w:val="24"/>
          <w:highlight w:val="none"/>
          <w:lang w:eastAsia="zh-CN"/>
        </w:rPr>
        <w:t xml:space="preserve">。</w:t>
      </w:r>
      <w:r>
        <w:rPr>
          <w:color w:val="auto"/>
          <w:highlight w:val="none"/>
        </w:rPr>
      </w:r>
    </w:p>
    <w:p>
      <w:pPr>
        <w:pStyle w:val="911"/>
        <w:ind w:left="0" w:firstLine="0"/>
        <w:jc w:val="center"/>
        <w:rPr>
          <w:rFonts w:hint="eastAsia" w:ascii="宋体" w:hAnsi="宋体" w:eastAsia="宋体" w:cs="宋体"/>
          <w:color w:val="auto"/>
          <w:sz w:val="44"/>
          <w:szCs w:val="44"/>
          <w:highlight w:val="none"/>
        </w:rPr>
      </w:pPr>
      <w:r>
        <w:rPr>
          <w:rFonts w:hint="eastAsia" w:ascii="宋体" w:hAnsi="宋体" w:eastAsia="宋体" w:cs="宋体"/>
          <w:b/>
          <w:color w:val="auto"/>
          <w:sz w:val="36"/>
          <w:szCs w:val="36"/>
          <w:highlight w:val="none"/>
        </w:rPr>
        <w:br w:type="page" w:clear="all"/>
      </w:r>
      <w:bookmarkStart w:id="275" w:name="_Toc16481"/>
      <w:r>
        <w:rPr>
          <w:color w:val="auto"/>
          <w:highlight w:val="none"/>
        </w:rPr>
      </w:r>
      <w:bookmarkStart w:id="276" w:name="_Toc3613"/>
      <w:r>
        <w:rPr>
          <w:color w:val="auto"/>
          <w:highlight w:val="none"/>
        </w:rPr>
      </w:r>
      <w:bookmarkStart w:id="277" w:name="_Toc465856616"/>
      <w:r>
        <w:rPr>
          <w:color w:val="auto"/>
          <w:highlight w:val="none"/>
        </w:rPr>
      </w:r>
      <w:bookmarkStart w:id="278" w:name="_Toc2728"/>
      <w:r>
        <w:rPr>
          <w:color w:val="auto"/>
          <w:highlight w:val="none"/>
        </w:rPr>
      </w:r>
      <w:bookmarkStart w:id="279" w:name="_Toc2740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val="en-US" w:eastAsia="zh-CN"/>
        </w:rPr>
        <w:t xml:space="preserve">八</w:t>
      </w:r>
      <w:r>
        <w:rPr>
          <w:rFonts w:hint="eastAsia" w:ascii="宋体" w:hAnsi="宋体" w:eastAsia="宋体" w:cs="宋体"/>
          <w:b/>
          <w:bCs/>
          <w:color w:val="auto"/>
          <w:sz w:val="44"/>
          <w:szCs w:val="44"/>
          <w:highlight w:val="none"/>
        </w:rPr>
        <w:t xml:space="preserve">章 竞争性磋商响应文件格式</w:t>
      </w:r>
      <w:bookmarkEnd w:id="275"/>
      <w:r>
        <w:rPr>
          <w:color w:val="auto"/>
          <w:highlight w:val="none"/>
        </w:rPr>
      </w:r>
      <w:bookmarkEnd w:id="276"/>
      <w:r>
        <w:rPr>
          <w:color w:val="auto"/>
          <w:highlight w:val="none"/>
        </w:rPr>
      </w:r>
      <w:bookmarkEnd w:id="277"/>
      <w:r>
        <w:rPr>
          <w:color w:val="auto"/>
          <w:highlight w:val="none"/>
        </w:rPr>
      </w:r>
      <w:bookmarkEnd w:id="278"/>
      <w:r>
        <w:rPr>
          <w:color w:val="auto"/>
          <w:highlight w:val="none"/>
        </w:rPr>
      </w:r>
      <w:bookmarkEnd w:id="279"/>
      <w:r>
        <w:rPr>
          <w:color w:val="auto"/>
          <w:highlight w:val="none"/>
        </w:rPr>
      </w:r>
      <w:r>
        <w:rPr>
          <w:color w:val="auto"/>
          <w:highlight w:val="none"/>
        </w:rPr>
      </w:r>
    </w:p>
    <w:p>
      <w:pPr>
        <w:pStyle w:val="928"/>
        <w:ind w:left="1874" w:right="1470" w:firstLine="0"/>
        <w:rPr>
          <w:rFonts w:cs="宋体"/>
          <w:color w:val="auto"/>
          <w:highlight w:val="none"/>
        </w:rPr>
      </w:pPr>
      <w:r>
        <w:rPr>
          <w:rFonts w:cs="宋体"/>
          <w:color w:val="auto"/>
          <w:highlight w:val="none"/>
        </w:rPr>
      </w:r>
      <w:r>
        <w:rPr>
          <w:color w:val="auto"/>
          <w:highlight w:val="none"/>
        </w:rPr>
      </w:r>
    </w:p>
    <w:p>
      <w:pPr>
        <w:pStyle w:val="928"/>
        <w:ind w:left="1874" w:right="1470" w:firstLine="0"/>
        <w:rPr>
          <w:rFonts w:cs="宋体"/>
          <w:color w:val="auto"/>
          <w:highlight w:val="none"/>
        </w:rPr>
      </w:pPr>
      <w:r>
        <w:rPr>
          <w:rFonts w:cs="宋体"/>
          <w:color w:val="auto"/>
          <w:highlight w:val="none"/>
        </w:rPr>
      </w:r>
      <w:r>
        <w:rPr>
          <w:color w:val="auto"/>
          <w:highlight w:val="none"/>
        </w:rPr>
      </w:r>
    </w:p>
    <w:p>
      <w:pPr>
        <w:jc w:val="center"/>
        <w:rPr>
          <w:rFonts w:ascii="宋体" w:hAnsi="宋体" w:cs="宋体"/>
          <w:b/>
          <w:color w:val="auto"/>
          <w:sz w:val="56"/>
          <w:szCs w:val="48"/>
          <w:highlight w:val="none"/>
        </w:rPr>
      </w:pPr>
      <w:r>
        <w:rPr>
          <w:rFonts w:hint="eastAsia" w:ascii="宋体" w:hAnsi="宋体" w:cs="宋体"/>
          <w:b/>
          <w:color w:val="auto"/>
          <w:sz w:val="56"/>
          <w:szCs w:val="48"/>
          <w:highlight w:val="none"/>
        </w:rPr>
        <w:t xml:space="preserve">连 云 港 市 政 府 采 购</w:t>
      </w:r>
      <w:r>
        <w:rPr>
          <w:color w:val="auto"/>
          <w:highlight w:val="none"/>
        </w:rPr>
      </w:r>
    </w:p>
    <w:p>
      <w:pPr>
        <w:jc w:val="center"/>
        <w:rPr>
          <w:rFonts w:ascii="宋体" w:hAnsi="宋体" w:cs="宋体"/>
          <w:b/>
          <w:color w:val="auto"/>
          <w:sz w:val="72"/>
          <w:szCs w:val="21"/>
          <w:highlight w:val="none"/>
        </w:rPr>
      </w:pPr>
      <w:r>
        <w:rPr>
          <w:rFonts w:ascii="宋体" w:hAnsi="宋体" w:cs="宋体"/>
          <w:b/>
          <w:color w:val="auto"/>
          <w:sz w:val="72"/>
          <w:szCs w:val="21"/>
          <w:highlight w:val="none"/>
        </w:rPr>
      </w:r>
      <w:r>
        <w:rPr>
          <w:color w:val="auto"/>
          <w:highlight w:val="none"/>
        </w:rPr>
      </w:r>
    </w:p>
    <w:p>
      <w:pPr>
        <w:jc w:val="center"/>
        <w:rPr>
          <w:rFonts w:ascii="宋体" w:hAnsi="宋体" w:cs="宋体"/>
          <w:b/>
          <w:color w:val="auto"/>
          <w:sz w:val="72"/>
          <w:szCs w:val="21"/>
          <w:highlight w:val="none"/>
        </w:rPr>
      </w:pPr>
      <w:r>
        <w:rPr>
          <w:rFonts w:hint="eastAsia" w:ascii="宋体" w:hAnsi="宋体" w:cs="宋体"/>
          <w:b/>
          <w:color w:val="auto"/>
          <w:sz w:val="72"/>
          <w:szCs w:val="21"/>
          <w:highlight w:val="none"/>
        </w:rPr>
        <w:t xml:space="preserve">响应文件</w:t>
      </w:r>
      <w:r>
        <w:rPr>
          <w:color w:val="auto"/>
          <w:highlight w:val="none"/>
        </w:rPr>
      </w:r>
    </w:p>
    <w:p>
      <w:pPr>
        <w:ind w:firstLine="643"/>
        <w:jc w:val="center"/>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p>
    <w:p>
      <w:pPr>
        <w:pStyle w:val="951"/>
        <w:ind w:firstLine="1749"/>
        <w:jc w:val="both"/>
        <w:spacing w:line="480" w:lineRule="atLeast"/>
        <w:rPr>
          <w:rFonts w:eastAsia="宋体"/>
          <w:b/>
          <w:color w:val="auto"/>
          <w:sz w:val="32"/>
          <w:szCs w:val="32"/>
          <w:highlight w:val="none"/>
          <w:u w:val="single"/>
        </w:rPr>
      </w:pPr>
      <w:r>
        <w:rPr>
          <w:rFonts w:hint="eastAsia"/>
          <w:b/>
          <w:color w:val="auto"/>
          <w:sz w:val="32"/>
          <w:szCs w:val="32"/>
          <w:highlight w:val="none"/>
          <w:lang w:eastAsia="zh-CN"/>
        </w:rPr>
        <w:t xml:space="preserve">项目名称</w:t>
      </w:r>
      <w:r>
        <w:rPr>
          <w:rFonts w:hint="eastAsia"/>
          <w:b/>
          <w:color w:val="auto"/>
          <w:sz w:val="32"/>
          <w:szCs w:val="32"/>
          <w:highlight w:val="none"/>
        </w:rPr>
        <w:t xml:space="preserve">：</w:t>
      </w:r>
      <w:r>
        <w:rPr>
          <w:rFonts w:hint="eastAsia"/>
          <w:b/>
          <w:color w:val="auto"/>
          <w:sz w:val="32"/>
          <w:szCs w:val="32"/>
          <w:highlight w:val="none"/>
          <w:u w:val="single"/>
          <w:lang w:val="en-US" w:eastAsia="zh-CN"/>
        </w:rPr>
        <w:t xml:space="preserve">                    </w:t>
      </w:r>
      <w:r>
        <w:rPr>
          <w:color w:val="auto"/>
          <w:highlight w:val="none"/>
        </w:rPr>
      </w:r>
    </w:p>
    <w:p>
      <w:pPr>
        <w:pStyle w:val="951"/>
        <w:ind w:firstLine="1749"/>
        <w:jc w:val="both"/>
        <w:spacing w:line="480" w:lineRule="atLeast"/>
        <w:rPr>
          <w:color w:val="auto"/>
          <w:highlight w:val="none"/>
        </w:rPr>
      </w:pPr>
      <w:r>
        <w:rPr>
          <w:rFonts w:hint="eastAsia"/>
          <w:b/>
          <w:color w:val="auto"/>
          <w:sz w:val="32"/>
          <w:szCs w:val="32"/>
          <w:highlight w:val="none"/>
          <w:lang w:eastAsia="zh-CN"/>
        </w:rPr>
        <w:t xml:space="preserve">项目编号</w:t>
      </w:r>
      <w:r>
        <w:rPr>
          <w:rFonts w:hint="eastAsia"/>
          <w:b/>
          <w:color w:val="auto"/>
          <w:sz w:val="32"/>
          <w:szCs w:val="32"/>
          <w:highlight w:val="none"/>
        </w:rPr>
        <w:t xml:space="preserve">：</w:t>
      </w:r>
      <w:r>
        <w:rPr>
          <w:rFonts w:hint="eastAsia"/>
          <w:b/>
          <w:color w:val="auto"/>
          <w:sz w:val="32"/>
          <w:szCs w:val="32"/>
          <w:highlight w:val="none"/>
          <w:u w:val="single"/>
          <w:lang w:val="en-US" w:eastAsia="zh-CN"/>
        </w:rPr>
        <w:t xml:space="preserve">                    </w:t>
      </w:r>
      <w:r>
        <w:rPr>
          <w:color w:val="auto"/>
          <w:highlight w:val="none"/>
        </w:rPr>
      </w:r>
    </w:p>
    <w:p>
      <w:pPr>
        <w:pStyle w:val="951"/>
        <w:jc w:val="both"/>
        <w:spacing w:line="360" w:lineRule="atLeast"/>
        <w:rPr>
          <w:color w:val="auto"/>
          <w:highlight w:val="none"/>
        </w:rPr>
      </w:pPr>
      <w:r>
        <w:rPr>
          <w:rFonts w:hint="eastAsia"/>
          <w:color w:val="auto"/>
          <w:highlight w:val="none"/>
        </w:rPr>
        <w:t xml:space="preserve">  </w:t>
      </w:r>
      <w:r>
        <w:rPr>
          <w:color w:val="auto"/>
          <w:highlight w:val="none"/>
        </w:rPr>
      </w:r>
    </w:p>
    <w:p>
      <w:pPr>
        <w:pStyle w:val="951"/>
        <w:ind w:firstLine="1749"/>
        <w:jc w:val="both"/>
        <w:spacing w:line="480" w:lineRule="atLeast"/>
        <w:rPr>
          <w:b/>
          <w:color w:val="auto"/>
          <w:sz w:val="32"/>
          <w:szCs w:val="32"/>
          <w:highlight w:val="none"/>
        </w:rPr>
      </w:pPr>
      <w:r>
        <w:rPr>
          <w:rFonts w:hint="eastAsia"/>
          <w:b/>
          <w:color w:val="auto"/>
          <w:sz w:val="32"/>
          <w:szCs w:val="32"/>
          <w:highlight w:val="none"/>
        </w:rPr>
        <w:t xml:space="preserve">供应商名称：</w:t>
      </w:r>
      <w:r>
        <w:rPr>
          <w:rFonts w:hint="eastAsia" w:cs="宋体"/>
          <w:b/>
          <w:bCs/>
          <w:color w:val="auto"/>
          <w:sz w:val="36"/>
          <w:szCs w:val="36"/>
          <w:highlight w:val="none"/>
          <w:u w:val="single"/>
          <w:lang w:val="en-US" w:eastAsia="zh-CN"/>
        </w:rPr>
        <w:t xml:space="preserve">                </w:t>
      </w:r>
      <w:r>
        <w:rPr>
          <w:rFonts w:hint="eastAsia"/>
          <w:b/>
          <w:color w:val="auto"/>
          <w:sz w:val="32"/>
          <w:szCs w:val="32"/>
          <w:highlight w:val="none"/>
        </w:rPr>
        <w:t xml:space="preserve"> </w:t>
      </w:r>
      <w:r>
        <w:rPr>
          <w:color w:val="auto"/>
          <w:highlight w:val="none"/>
        </w:rPr>
      </w:r>
    </w:p>
    <w:p>
      <w:pPr>
        <w:pStyle w:val="951"/>
        <w:ind w:firstLine="1749"/>
        <w:jc w:val="both"/>
        <w:spacing w:line="480" w:lineRule="atLeast"/>
        <w:rPr>
          <w:color w:val="auto"/>
          <w:sz w:val="36"/>
          <w:highlight w:val="none"/>
        </w:rPr>
      </w:pPr>
      <w:r>
        <w:rPr>
          <w:rFonts w:hint="eastAsia"/>
          <w:b/>
          <w:color w:val="auto"/>
          <w:sz w:val="32"/>
          <w:szCs w:val="32"/>
          <w:highlight w:val="none"/>
        </w:rPr>
        <w:t xml:space="preserve">日 期 ：</w:t>
      </w:r>
      <w:r>
        <w:rPr>
          <w:rFonts w:hint="eastAsia"/>
          <w:b/>
          <w:color w:val="auto"/>
          <w:sz w:val="32"/>
          <w:szCs w:val="32"/>
          <w:highlight w:val="none"/>
          <w:u w:val="single"/>
          <w:lang w:val="en-US" w:eastAsia="zh-CN"/>
        </w:rPr>
        <w:t xml:space="preserve">                     </w:t>
      </w:r>
      <w:r>
        <w:rPr>
          <w:color w:val="auto"/>
          <w:highlight w:val="none"/>
        </w:rPr>
      </w:r>
    </w:p>
    <w:p>
      <w:pPr>
        <w:pStyle w:val="984"/>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pStyle w:val="984"/>
        <w:ind w:firstLine="0"/>
        <w:spacing w:before="0" w:after="0"/>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numPr>
          <w:ilvl w:val="0"/>
          <w:numId w:val="0"/>
        </w:numPr>
        <w:jc w:val="center"/>
        <w:pageBreakBefore w:val="0"/>
        <w:spacing w:line="360" w:lineRule="auto"/>
        <w:widowControl w:val="off"/>
        <w:rPr>
          <w:rStyle w:val="766"/>
          <w:rFonts w:hint="eastAsia"/>
          <w:color w:val="auto"/>
          <w:highlight w:val="none"/>
        </w:rPr>
        <w:outlineLvl w:val="0"/>
      </w:pPr>
      <w:r>
        <w:rPr>
          <w:rFonts w:hint="eastAsia" w:ascii="宋体" w:hAnsi="宋体" w:eastAsia="宋体" w:cs="宋体"/>
          <w:b/>
          <w:color w:val="auto"/>
          <w:sz w:val="32"/>
          <w:szCs w:val="32"/>
          <w:highlight w:val="none"/>
        </w:rPr>
        <w:br w:type="page" w:clear="all"/>
      </w:r>
      <w:bookmarkStart w:id="280" w:name="_Toc4212"/>
      <w:r>
        <w:rPr>
          <w:color w:val="auto"/>
          <w:highlight w:val="none"/>
        </w:rPr>
      </w:r>
      <w:bookmarkStart w:id="281" w:name="_Toc3981"/>
      <w:r>
        <w:rPr>
          <w:color w:val="auto"/>
          <w:highlight w:val="none"/>
        </w:rPr>
      </w:r>
      <w:bookmarkStart w:id="282" w:name="_Toc15296"/>
      <w:r>
        <w:rPr>
          <w:color w:val="auto"/>
          <w:highlight w:val="none"/>
        </w:rPr>
      </w:r>
      <w:bookmarkStart w:id="283" w:name="_Toc23485"/>
      <w:r>
        <w:rPr>
          <w:rStyle w:val="766"/>
          <w:rFonts w:hint="eastAsia"/>
          <w:color w:val="auto"/>
          <w:highlight w:val="none"/>
          <w:lang w:val="en-US" w:eastAsia="zh-CN"/>
        </w:rPr>
        <w:t xml:space="preserve">1.磋商响应函</w:t>
      </w:r>
      <w:bookmarkEnd w:id="280"/>
      <w:r>
        <w:rPr>
          <w:color w:val="auto"/>
          <w:highlight w:val="none"/>
        </w:rPr>
      </w:r>
      <w:bookmarkEnd w:id="281"/>
      <w:r>
        <w:rPr>
          <w:color w:val="auto"/>
          <w:highlight w:val="none"/>
        </w:rPr>
      </w:r>
      <w:bookmarkEnd w:id="282"/>
      <w:r>
        <w:rPr>
          <w:color w:val="auto"/>
          <w:highlight w:val="none"/>
        </w:rPr>
      </w:r>
      <w:bookmarkEnd w:id="283"/>
      <w:r>
        <w:rPr>
          <w:color w:val="auto"/>
          <w:highlight w:val="none"/>
        </w:rPr>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致：</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（一）根据已收到的采购编号为</w:t>
      </w:r>
      <w:r>
        <w:rPr>
          <w:rFonts w:hint="eastAsia" w:asciiTheme="minorEastAsia" w:hAnsiTheme="minorEastAsia" w:eastAsiaTheme="minorEastAsia" w:cstheme="minorEastAsia"/>
          <w:color w:val="auto"/>
          <w:sz w:val="24"/>
          <w:szCs w:val="24"/>
          <w:highlight w:val="none"/>
          <w:u w:val="single"/>
          <w:lang w:eastAsia="zh-CN"/>
        </w:rPr>
        <w:tab/>
      </w:r>
      <w:r>
        <w:rPr>
          <w:rFonts w:hint="eastAsia" w:asciiTheme="minorEastAsia" w:hAnsiTheme="minorEastAsia" w:eastAsiaTheme="minorEastAsia" w:cstheme="minorEastAsia"/>
          <w:color w:val="auto"/>
          <w:sz w:val="24"/>
          <w:szCs w:val="24"/>
          <w:highlight w:val="none"/>
          <w:lang w:eastAsia="zh-CN"/>
        </w:rPr>
        <w:t xml:space="preserve">的</w:t>
      </w:r>
      <w:r>
        <w:rPr>
          <w:rFonts w:hint="eastAsia" w:asciiTheme="minorEastAsia" w:hAnsiTheme="minorEastAsia" w:eastAsiaTheme="minorEastAsia" w:cstheme="minorEastAsia"/>
          <w:color w:val="auto"/>
          <w:sz w:val="24"/>
          <w:szCs w:val="24"/>
          <w:highlight w:val="none"/>
          <w:u w:val="single"/>
          <w:lang w:eastAsia="zh-CN"/>
        </w:rPr>
        <w:tab/>
      </w:r>
      <w:r>
        <w:rPr>
          <w:rFonts w:hint="eastAsia" w:asciiTheme="minorEastAsia" w:hAnsiTheme="minorEastAsia" w:eastAsiaTheme="minorEastAsia" w:cstheme="minorEastAsia"/>
          <w:color w:val="auto"/>
          <w:sz w:val="24"/>
          <w:szCs w:val="24"/>
          <w:highlight w:val="none"/>
          <w:u w:val="single"/>
          <w:lang w:eastAsia="zh-CN"/>
        </w:rPr>
        <w:tab/>
      </w:r>
      <w:r>
        <w:rPr>
          <w:rFonts w:hint="eastAsia" w:asciiTheme="minorEastAsia" w:hAnsiTheme="minorEastAsia" w:eastAsiaTheme="minorEastAsia" w:cstheme="minorEastAsia"/>
          <w:color w:val="auto"/>
          <w:sz w:val="24"/>
          <w:szCs w:val="24"/>
          <w:highlight w:val="none"/>
          <w:lang w:eastAsia="zh-CN"/>
        </w:rPr>
        <w:t xml:space="preserve">工程的磋商文件（包括补充通知），遵照《中华人民共和国政府采购法》及相关法律的规定，我单位经考察现场和研究上述工程磋商文件后，我方愿以人民币</w:t>
      </w:r>
      <w:r>
        <w:rPr>
          <w:rFonts w:hint="eastAsia" w:asciiTheme="minorEastAsia" w:hAnsiTheme="minorEastAsia" w:eastAsiaTheme="minorEastAsia" w:cstheme="minorEastAsia"/>
          <w:color w:val="auto"/>
          <w:sz w:val="24"/>
          <w:szCs w:val="24"/>
          <w:highlight w:val="none"/>
          <w:u w:val="single"/>
          <w:lang w:eastAsia="zh-CN"/>
        </w:rPr>
        <w:tab/>
      </w:r>
      <w:r>
        <w:rPr>
          <w:rFonts w:hint="eastAsia" w:asciiTheme="minorEastAsia" w:hAnsiTheme="minorEastAsia" w:eastAsiaTheme="minorEastAsia" w:cstheme="minorEastAsia"/>
          <w:color w:val="auto"/>
          <w:sz w:val="24"/>
          <w:szCs w:val="24"/>
          <w:highlight w:val="none"/>
          <w:u w:val="single"/>
          <w:lang w:eastAsia="zh-CN"/>
        </w:rPr>
        <w:tab/>
      </w:r>
      <w:r>
        <w:rPr>
          <w:rFonts w:hint="eastAsia" w:asciiTheme="minorEastAsia" w:hAnsiTheme="minorEastAsia" w:eastAsiaTheme="minorEastAsia" w:cstheme="minorEastAsia"/>
          <w:color w:val="auto"/>
          <w:sz w:val="24"/>
          <w:szCs w:val="24"/>
          <w:highlight w:val="none"/>
          <w:lang w:eastAsia="zh-CN"/>
        </w:rPr>
        <w:t xml:space="preserve">元（大写：</w:t>
      </w:r>
      <w:r>
        <w:rPr>
          <w:rFonts w:hint="eastAsia" w:asciiTheme="minorEastAsia" w:hAnsiTheme="minorEastAsia" w:eastAsiaTheme="minorEastAsia" w:cstheme="minorEastAsia"/>
          <w:color w:val="auto"/>
          <w:sz w:val="24"/>
          <w:szCs w:val="24"/>
          <w:highlight w:val="none"/>
          <w:lang w:eastAsia="zh-CN"/>
        </w:rPr>
        <w:tab/>
      </w:r>
      <w:r>
        <w:rPr>
          <w:rFonts w:hint="eastAsia" w:asciiTheme="minorEastAsia" w:hAnsiTheme="minorEastAsia" w:eastAsiaTheme="minorEastAsia" w:cstheme="minorEastAsia"/>
          <w:color w:val="auto"/>
          <w:sz w:val="24"/>
          <w:szCs w:val="24"/>
          <w:highlight w:val="none"/>
          <w:lang w:eastAsia="zh-CN"/>
        </w:rPr>
        <w:t xml:space="preserve">）的总价， 按磋商文件的要求承包本次采购范围内的全部工程，并承担相关的责任。</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（二）我方提交的磋商响应文件（包括磋商报价书、已标价的工程量清单和其他响应文件）在磋商截止时间后的 60 天内有效，在此期间被你方接受的上述文件对我方一直具有约束力。我方保证在磋商响应文件有效期内不撤回磋商响应文件，除磋商文件另有规定外，不修改磋商响应文件。</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（三）我单位保证在收到贵单位发出的书面开工令后立即开工，并在 </w:t>
      </w:r>
      <w:r>
        <w:rPr>
          <w:rFonts w:hint="eastAsia" w:asciiTheme="minorEastAsia" w:hAnsiTheme="minorEastAsia" w:eastAsiaTheme="minorEastAsia" w:cstheme="minorEastAsia"/>
          <w:color w:val="auto"/>
          <w:sz w:val="24"/>
          <w:szCs w:val="24"/>
          <w:highlight w:val="none"/>
          <w:u w:val="single"/>
          <w:lang w:eastAsia="zh-CN"/>
        </w:rPr>
        <w:tab/>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eastAsia="zh-CN"/>
        </w:rPr>
        <w:t xml:space="preserve">天内竣工。</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（四）我单位保证本工程质量达到</w:t>
      </w:r>
      <w:r>
        <w:rPr>
          <w:rFonts w:hint="eastAsia" w:asciiTheme="minorEastAsia" w:hAnsiTheme="minorEastAsia" w:eastAsiaTheme="minorEastAsia" w:cstheme="minorEastAsia"/>
          <w:color w:val="auto"/>
          <w:sz w:val="24"/>
          <w:szCs w:val="24"/>
          <w:highlight w:val="none"/>
          <w:u w:val="single"/>
          <w:lang w:eastAsia="zh-CN"/>
        </w:rPr>
        <w:t xml:space="preserve"> </w:t>
      </w:r>
      <w:r>
        <w:rPr>
          <w:rFonts w:hint="eastAsia" w:asciiTheme="minorEastAsia" w:hAnsiTheme="minorEastAsia" w:eastAsiaTheme="minorEastAsia" w:cstheme="minorEastAsia"/>
          <w:color w:val="auto"/>
          <w:sz w:val="24"/>
          <w:szCs w:val="24"/>
          <w:highlight w:val="none"/>
          <w:u w:val="single"/>
          <w:lang w:eastAsia="zh-CN"/>
        </w:rPr>
        <w:tab/>
      </w:r>
      <w:r>
        <w:rPr>
          <w:rFonts w:hint="eastAsia" w:asciiTheme="minorEastAsia" w:hAnsiTheme="minorEastAsia" w:eastAsiaTheme="minorEastAsia" w:cstheme="minorEastAsia"/>
          <w:color w:val="auto"/>
          <w:sz w:val="24"/>
          <w:szCs w:val="24"/>
          <w:highlight w:val="none"/>
          <w:lang w:eastAsia="zh-CN"/>
        </w:rPr>
        <w:t xml:space="preserve">。</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（五）我单位保证在成交后派出 </w:t>
      </w:r>
      <w:r>
        <w:rPr>
          <w:rFonts w:hint="eastAsia" w:asciiTheme="minorEastAsia" w:hAnsiTheme="minorEastAsia" w:eastAsiaTheme="minorEastAsia" w:cstheme="minorEastAsia"/>
          <w:color w:val="auto"/>
          <w:sz w:val="24"/>
          <w:szCs w:val="24"/>
          <w:highlight w:val="none"/>
          <w:u w:val="single"/>
          <w:lang w:eastAsia="zh-CN"/>
        </w:rPr>
        <w:tab/>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lang w:eastAsia="zh-CN"/>
        </w:rPr>
        <w:t xml:space="preserve">姓名）项目负责人全面负责本工程的施工。</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（六）贵单位所发出的磋商文件、成交通知书和本磋商响应文件将构成约束我们双方的合同。</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磋商供应商：（盖章） </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单位地址：</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邮政编码：</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法定代表人或委托代理人（签字或盖章）： </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电话：</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传真：</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开户银行名称：</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银行账号：</w:t>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开户行地址：</w:t>
      </w:r>
      <w:r>
        <w:rPr>
          <w:color w:val="auto"/>
          <w:highlight w:val="none"/>
        </w:rPr>
      </w:r>
    </w:p>
    <w:p>
      <w:pPr>
        <w:pStyle w:val="724"/>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r>
      <w:r>
        <w:rPr>
          <w:color w:val="auto"/>
          <w:highlight w:val="none"/>
        </w:rPr>
      </w:r>
    </w:p>
    <w:p>
      <w:pPr>
        <w:pStyle w:val="724"/>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r>
      <w:r>
        <w:rPr>
          <w:color w:val="auto"/>
          <w:highlight w:val="none"/>
        </w:rPr>
      </w:r>
    </w:p>
    <w:p>
      <w:pPr>
        <w:pStyle w:val="724"/>
        <w:ind w:firstLine="480"/>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 xml:space="preserve">日期：</w:t>
      </w:r>
      <w:r>
        <w:rPr>
          <w:rFonts w:hint="eastAsia" w:asciiTheme="minorEastAsia" w:hAnsiTheme="minorEastAsia" w:eastAsiaTheme="minorEastAsia" w:cstheme="minorEastAsia"/>
          <w:color w:val="auto"/>
          <w:sz w:val="24"/>
          <w:szCs w:val="24"/>
          <w:highlight w:val="none"/>
          <w:lang w:eastAsia="zh-CN"/>
        </w:rPr>
        <w:tab/>
      </w:r>
      <w:r>
        <w:rPr>
          <w:rFonts w:hint="eastAsia" w:asciiTheme="minorEastAsia" w:hAnsiTheme="minorEastAsia" w:eastAsiaTheme="minorEastAsia" w:cstheme="minorEastAsia"/>
          <w:color w:val="auto"/>
          <w:sz w:val="24"/>
          <w:szCs w:val="24"/>
          <w:highlight w:val="none"/>
          <w:lang w:eastAsia="zh-CN"/>
        </w:rPr>
        <w:t xml:space="preserve">年</w:t>
      </w:r>
      <w:r>
        <w:rPr>
          <w:rFonts w:hint="eastAsia" w:asciiTheme="minorEastAsia" w:hAnsiTheme="minorEastAsia" w:eastAsiaTheme="minorEastAsia" w:cstheme="minorEastAsia"/>
          <w:color w:val="auto"/>
          <w:sz w:val="24"/>
          <w:szCs w:val="24"/>
          <w:highlight w:val="none"/>
          <w:lang w:eastAsia="zh-CN"/>
        </w:rPr>
        <w:tab/>
      </w:r>
      <w:r>
        <w:rPr>
          <w:rFonts w:hint="eastAsia" w:asciiTheme="minorEastAsia" w:hAnsiTheme="minorEastAsia" w:eastAsiaTheme="minorEastAsia" w:cstheme="minorEastAsia"/>
          <w:color w:val="auto"/>
          <w:sz w:val="24"/>
          <w:szCs w:val="24"/>
          <w:highlight w:val="none"/>
          <w:lang w:eastAsia="zh-CN"/>
        </w:rPr>
        <w:t xml:space="preserve">月</w:t>
      </w:r>
      <w:r>
        <w:rPr>
          <w:rFonts w:hint="eastAsia" w:asciiTheme="minorEastAsia" w:hAnsiTheme="minorEastAsia" w:eastAsiaTheme="minorEastAsia" w:cstheme="minorEastAsia"/>
          <w:color w:val="auto"/>
          <w:sz w:val="24"/>
          <w:szCs w:val="24"/>
          <w:highlight w:val="none"/>
          <w:lang w:eastAsia="zh-CN"/>
        </w:rPr>
        <w:tab/>
      </w:r>
      <w:r>
        <w:rPr>
          <w:rFonts w:hint="eastAsia" w:asciiTheme="minorEastAsia" w:hAnsiTheme="minorEastAsia" w:eastAsiaTheme="minorEastAsia" w:cstheme="minorEastAsia"/>
          <w:color w:val="auto"/>
          <w:sz w:val="24"/>
          <w:szCs w:val="24"/>
          <w:highlight w:val="none"/>
          <w:lang w:eastAsia="zh-CN"/>
        </w:rPr>
        <w:t xml:space="preserve">日</w:t>
      </w:r>
      <w:r>
        <w:rPr>
          <w:color w:val="auto"/>
          <w:highlight w:val="none"/>
        </w:rPr>
      </w:r>
    </w:p>
    <w:p>
      <w:pPr>
        <w:pStyle w:val="724"/>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r>
      <w:r>
        <w:rPr>
          <w:color w:val="auto"/>
          <w:highlight w:val="none"/>
        </w:rPr>
      </w:r>
    </w:p>
    <w:p>
      <w:pPr>
        <w:pStyle w:val="724"/>
        <w:jc w:val="left"/>
        <w:spacing w:line="40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r>
      <w:r>
        <w:rPr>
          <w:color w:val="auto"/>
          <w:highlight w:val="none"/>
        </w:rPr>
      </w:r>
    </w:p>
    <w:p>
      <w:pPr>
        <w:jc w:val="both"/>
        <w:rPr>
          <w:rFonts w:hint="eastAsia" w:ascii="宋体" w:hAnsi="宋体" w:eastAsia="宋体" w:cs="宋体"/>
          <w:b/>
          <w:color w:val="auto"/>
          <w:sz w:val="28"/>
          <w:szCs w:val="28"/>
          <w:highlight w:val="none"/>
        </w:rPr>
        <w:outlineLvl w:val="0"/>
      </w:pPr>
      <w:r>
        <w:rPr>
          <w:rFonts w:hint="eastAsia" w:ascii="宋体" w:hAnsi="宋体" w:eastAsia="宋体" w:cs="宋体"/>
          <w:b/>
          <w:color w:val="auto"/>
          <w:sz w:val="30"/>
          <w:szCs w:val="30"/>
          <w:highlight w:val="none"/>
          <w:u w:val="single"/>
        </w:rPr>
        <w:br w:type="page" w:clear="all"/>
      </w:r>
      <w:bookmarkStart w:id="284" w:name="_Toc17281"/>
      <w:r>
        <w:rPr>
          <w:color w:val="auto"/>
          <w:highlight w:val="none"/>
        </w:rPr>
      </w:r>
      <w:bookmarkStart w:id="285" w:name="_Toc28392"/>
      <w:r>
        <w:rPr>
          <w:color w:val="auto"/>
          <w:highlight w:val="none"/>
        </w:rPr>
      </w:r>
      <w:bookmarkStart w:id="286" w:name="_Toc8251"/>
      <w:r>
        <w:rPr>
          <w:color w:val="auto"/>
          <w:highlight w:val="none"/>
        </w:rPr>
      </w:r>
      <w:r>
        <w:rPr>
          <w:color w:val="auto"/>
          <w:highlight w:val="none"/>
        </w:rPr>
      </w:r>
    </w:p>
    <w:p>
      <w:pPr>
        <w:pStyle w:val="713"/>
        <w:ind w:left="0" w:firstLine="0"/>
        <w:jc w:val="center"/>
        <w:rPr>
          <w:color w:val="auto"/>
          <w:sz w:val="22"/>
          <w:szCs w:val="22"/>
          <w:highlight w:val="none"/>
        </w:rPr>
      </w:pPr>
      <w:r>
        <w:rPr>
          <w:color w:val="auto"/>
          <w:sz w:val="22"/>
          <w:szCs w:val="22"/>
          <w:highlight w:val="none"/>
        </w:rPr>
        <w:t xml:space="preserve">磋商响应报价表</w:t>
      </w:r>
      <w:r>
        <w:rPr>
          <w:color w:val="auto"/>
          <w:highlight w:val="none"/>
        </w:rPr>
      </w:r>
    </w:p>
    <w:p>
      <w:pPr>
        <w:pStyle w:val="724"/>
        <w:spacing w:line="400" w:lineRule="exact"/>
        <w:rPr>
          <w:color w:val="auto"/>
          <w:highlight w:val="none"/>
        </w:rPr>
      </w:pPr>
      <w:r>
        <w:rPr>
          <w:color w:val="auto"/>
          <w:highlight w:val="none"/>
        </w:rPr>
      </w:r>
      <w:r>
        <w:rPr>
          <w:color w:val="auto"/>
          <w:highlight w:val="none"/>
        </w:rPr>
      </w:r>
    </w:p>
    <w:tbl>
      <w:tblPr>
        <w:tblStyle w:val="719"/>
        <w:tblpPr w:horzAnchor="page" w:tblpXSpec="center" w:vertAnchor="text" w:tblpY="398"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38"/>
        <w:gridCol w:w="7602"/>
      </w:tblGrid>
      <w:tr>
        <w:trPr>
          <w:jc w:val="center"/>
          <w:trHeight w:val="1319"/>
        </w:trPr>
        <w:tc>
          <w:tcPr>
            <w:tcW w:w="1538" w:type="dxa"/>
            <w:textDirection w:val="lrTb"/>
            <w:noWrap w:val="false"/>
          </w:tcPr>
          <w:p>
            <w:pPr>
              <w:pStyle w:val="72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72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目</w:t>
            </w:r>
            <w:r>
              <w:rPr>
                <w:color w:val="auto"/>
                <w:highlight w:val="none"/>
              </w:rPr>
            </w:r>
          </w:p>
        </w:tc>
        <w:tc>
          <w:tcPr>
            <w:tcW w:w="7602" w:type="dxa"/>
            <w:textDirection w:val="lrTb"/>
            <w:noWrap w:val="false"/>
          </w:tcPr>
          <w:p>
            <w:pPr>
              <w:pStyle w:val="7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pStyle w:val="724"/>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项目名称： </w:t>
            </w:r>
            <w:r>
              <w:rPr>
                <w:color w:val="auto"/>
                <w:highlight w:val="none"/>
              </w:rPr>
            </w:r>
          </w:p>
          <w:p>
            <w:pPr>
              <w:pStyle w:val="724"/>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项目编号：</w:t>
            </w:r>
            <w:r>
              <w:rPr>
                <w:color w:val="auto"/>
                <w:highlight w:val="none"/>
              </w:rPr>
            </w:r>
          </w:p>
        </w:tc>
      </w:tr>
      <w:tr>
        <w:trPr>
          <w:jc w:val="center"/>
          <w:trHeight w:val="1975"/>
        </w:trPr>
        <w:tc>
          <w:tcPr>
            <w:tcW w:w="1538" w:type="dxa"/>
            <w:textDirection w:val="lrTb"/>
            <w:noWrap w:val="false"/>
          </w:tcPr>
          <w:p>
            <w:pPr>
              <w:pStyle w:val="72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pStyle w:val="72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pStyle w:val="72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响应报价</w:t>
            </w:r>
            <w:r>
              <w:rPr>
                <w:color w:val="auto"/>
                <w:highlight w:val="none"/>
              </w:rPr>
            </w:r>
          </w:p>
        </w:tc>
        <w:tc>
          <w:tcPr>
            <w:tcW w:w="7602" w:type="dxa"/>
            <w:textDirection w:val="lrTb"/>
            <w:noWrap w:val="false"/>
          </w:tcPr>
          <w:p>
            <w:pPr>
              <w:pStyle w:val="7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724"/>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color w:val="auto"/>
                <w:highlight w:val="none"/>
              </w:rPr>
            </w:r>
          </w:p>
          <w:p>
            <w:pPr>
              <w:pStyle w:val="724"/>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724"/>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color w:val="auto"/>
                <w:highlight w:val="none"/>
              </w:rPr>
            </w:r>
          </w:p>
        </w:tc>
      </w:tr>
      <w:tr>
        <w:trPr>
          <w:jc w:val="center"/>
          <w:trHeight w:val="1650"/>
        </w:trPr>
        <w:tc>
          <w:tcPr>
            <w:tcW w:w="1538" w:type="dxa"/>
            <w:textDirection w:val="lrTb"/>
            <w:noWrap w:val="false"/>
          </w:tcPr>
          <w:p>
            <w:pPr>
              <w:pStyle w:val="72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72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rPr>
              <w:t xml:space="preserve">工期</w:t>
            </w:r>
            <w:r>
              <w:rPr>
                <w:rFonts w:hint="eastAsia" w:ascii="宋体" w:hAnsi="宋体" w:eastAsia="宋体" w:cs="宋体"/>
                <w:color w:val="auto"/>
                <w:sz w:val="24"/>
                <w:szCs w:val="24"/>
                <w:highlight w:val="none"/>
                <w:lang w:val="en-US" w:eastAsia="zh-CN"/>
              </w:rPr>
              <w:t xml:space="preserve">）</w:t>
            </w:r>
            <w:r>
              <w:rPr>
                <w:color w:val="auto"/>
                <w:highlight w:val="none"/>
              </w:rPr>
            </w:r>
          </w:p>
        </w:tc>
        <w:tc>
          <w:tcPr>
            <w:tcW w:w="7602" w:type="dxa"/>
            <w:textDirection w:val="lrTb"/>
            <w:noWrap w:val="false"/>
          </w:tcPr>
          <w:p>
            <w:pPr>
              <w:pStyle w:val="72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72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pStyle w:val="724"/>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color w:val="auto"/>
                <w:highlight w:val="none"/>
              </w:rPr>
            </w:r>
          </w:p>
        </w:tc>
      </w:tr>
      <w:tr>
        <w:trPr>
          <w:jc w:val="center"/>
          <w:trHeight w:val="1651"/>
        </w:trPr>
        <w:tc>
          <w:tcPr>
            <w:gridSpan w:val="2"/>
            <w:tcW w:w="9140" w:type="dxa"/>
            <w:textDirection w:val="lrTb"/>
            <w:noWrap w:val="false"/>
          </w:tcPr>
          <w:p>
            <w:pPr>
              <w:pStyle w:val="72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r>
            <w:r>
              <w:rPr>
                <w:color w:val="auto"/>
                <w:highlight w:val="none"/>
              </w:rPr>
            </w:r>
          </w:p>
          <w:p>
            <w:pPr>
              <w:pStyle w:val="724"/>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质量标准：                   项目负责人：</w:t>
            </w:r>
            <w:r>
              <w:rPr>
                <w:color w:val="auto"/>
                <w:highlight w:val="none"/>
              </w:rPr>
            </w:r>
          </w:p>
        </w:tc>
      </w:tr>
    </w:tbl>
    <w:p>
      <w:pPr>
        <w:pStyle w:val="724"/>
        <w:spacing w:line="400" w:lineRule="exact"/>
        <w:rPr>
          <w:color w:val="auto"/>
          <w:highlight w:val="none"/>
        </w:rPr>
      </w:pPr>
      <w:r>
        <w:rPr>
          <w:color w:val="auto"/>
          <w:highlight w:val="none"/>
          <w:lang w:eastAsia="zh-CN"/>
        </w:rPr>
      </w:r>
      <w:r>
        <w:rPr>
          <w:color w:val="auto"/>
          <w:highlight w:val="none"/>
        </w:rPr>
      </w:r>
    </w:p>
    <w:p>
      <w:pPr>
        <w:pStyle w:val="724"/>
        <w:spacing w:line="400" w:lineRule="exact"/>
        <w:rPr>
          <w:color w:val="auto"/>
          <w:highlight w:val="none"/>
        </w:rPr>
      </w:pPr>
      <w:r>
        <w:rPr>
          <w:color w:val="auto"/>
          <w:highlight w:val="none"/>
          <w:lang w:eastAsia="zh-CN"/>
        </w:rPr>
      </w:r>
      <w:r>
        <w:rPr>
          <w:color w:val="auto"/>
          <w:highlight w:val="none"/>
        </w:rPr>
      </w:r>
    </w:p>
    <w:p>
      <w:pPr>
        <w:pStyle w:val="724"/>
        <w:ind w:firstLine="420"/>
        <w:jc w:val="left"/>
        <w:spacing w:line="400" w:lineRule="exact"/>
        <w:rPr>
          <w:color w:val="auto"/>
          <w:highlight w:val="none"/>
        </w:rPr>
      </w:pPr>
      <w:r>
        <w:rPr>
          <w:color w:val="auto"/>
          <w:highlight w:val="none"/>
          <w:lang w:eastAsia="zh-CN"/>
        </w:rPr>
        <w:t xml:space="preserve">磋商单位盖章：</w:t>
      </w:r>
      <w:r>
        <w:rPr>
          <w:color w:val="auto"/>
          <w:highlight w:val="none"/>
          <w:lang w:eastAsia="zh-CN"/>
        </w:rPr>
        <w:tab/>
      </w:r>
      <w:r>
        <w:rPr>
          <w:color w:val="auto"/>
          <w:highlight w:val="none"/>
        </w:rPr>
      </w:r>
    </w:p>
    <w:p>
      <w:pPr>
        <w:pStyle w:val="724"/>
        <w:ind w:firstLine="420"/>
        <w:jc w:val="left"/>
        <w:spacing w:line="400" w:lineRule="exact"/>
        <w:rPr>
          <w:color w:val="auto"/>
          <w:highlight w:val="none"/>
        </w:rPr>
      </w:pPr>
      <w:r>
        <w:rPr>
          <w:color w:val="auto"/>
          <w:highlight w:val="none"/>
          <w:lang w:eastAsia="zh-CN"/>
        </w:rPr>
        <w:t xml:space="preserve">法定代表人</w:t>
      </w:r>
      <w:r>
        <w:rPr>
          <w:rFonts w:hint="eastAsia"/>
          <w:color w:val="auto"/>
          <w:highlight w:val="none"/>
          <w:lang w:eastAsia="zh-CN"/>
        </w:rPr>
        <w:t xml:space="preserve">（</w:t>
      </w:r>
      <w:r>
        <w:rPr>
          <w:color w:val="auto"/>
          <w:highlight w:val="none"/>
          <w:lang w:eastAsia="zh-CN"/>
        </w:rPr>
        <w:t xml:space="preserve">授权代表</w:t>
      </w:r>
      <w:r>
        <w:rPr>
          <w:rFonts w:hint="eastAsia"/>
          <w:color w:val="auto"/>
          <w:highlight w:val="none"/>
          <w:lang w:eastAsia="zh-CN"/>
        </w:rPr>
        <w:t xml:space="preserve">）</w:t>
      </w:r>
      <w:r>
        <w:rPr>
          <w:color w:val="auto"/>
          <w:highlight w:val="none"/>
          <w:lang w:eastAsia="zh-CN"/>
        </w:rPr>
        <w:t xml:space="preserve">签名：</w:t>
      </w:r>
      <w:r>
        <w:rPr>
          <w:color w:val="auto"/>
          <w:highlight w:val="none"/>
        </w:rPr>
      </w:r>
    </w:p>
    <w:p>
      <w:pPr>
        <w:pStyle w:val="724"/>
        <w:spacing w:line="400" w:lineRule="exact"/>
        <w:rPr>
          <w:color w:val="auto"/>
          <w:highlight w:val="none"/>
        </w:rPr>
      </w:pPr>
      <w:r>
        <w:rPr>
          <w:color w:val="auto"/>
          <w:highlight w:val="none"/>
          <w:lang w:eastAsia="zh-CN"/>
        </w:rPr>
      </w:r>
      <w:r>
        <w:rPr>
          <w:color w:val="auto"/>
          <w:highlight w:val="none"/>
        </w:rPr>
      </w:r>
    </w:p>
    <w:p>
      <w:pPr>
        <w:pStyle w:val="724"/>
        <w:spacing w:line="400" w:lineRule="exact"/>
        <w:rPr>
          <w:color w:val="auto"/>
          <w:highlight w:val="none"/>
        </w:rPr>
      </w:pPr>
      <w:r>
        <w:rPr>
          <w:color w:val="auto"/>
          <w:highlight w:val="none"/>
          <w:lang w:eastAsia="zh-CN"/>
        </w:rPr>
      </w:r>
      <w:r>
        <w:rPr>
          <w:color w:val="auto"/>
          <w:highlight w:val="none"/>
        </w:rPr>
      </w:r>
    </w:p>
    <w:p>
      <w:pPr>
        <w:pStyle w:val="724"/>
        <w:spacing w:line="400" w:lineRule="exact"/>
        <w:rPr>
          <w:rFonts w:hint="eastAsia"/>
          <w:b/>
          <w:bCs/>
          <w:color w:val="auto"/>
          <w:highlight w:val="none"/>
        </w:rPr>
      </w:pPr>
      <w:r>
        <w:rPr>
          <w:color w:val="auto"/>
          <w:highlight w:val="none"/>
          <w:lang w:eastAsia="zh-CN"/>
        </w:rPr>
        <w:t xml:space="preserve">注</w:t>
      </w:r>
      <w:r>
        <w:rPr>
          <w:rFonts w:hint="eastAsia"/>
          <w:color w:val="auto"/>
          <w:highlight w:val="none"/>
          <w:lang w:eastAsia="zh-CN"/>
        </w:rPr>
        <w:t xml:space="preserve">：</w:t>
      </w:r>
      <w:r>
        <w:rPr>
          <w:rFonts w:hint="eastAsia"/>
          <w:b/>
          <w:bCs/>
          <w:color w:val="auto"/>
          <w:highlight w:val="none"/>
          <w:lang w:eastAsia="zh-CN"/>
        </w:rPr>
        <w:t xml:space="preserve">①磋商报价应包括磋商文件所确定的采购范围的全部内容，但该表报价非本次磋商的最后报价。</w:t>
      </w:r>
      <w:r>
        <w:rPr>
          <w:color w:val="auto"/>
          <w:highlight w:val="none"/>
        </w:rPr>
      </w:r>
    </w:p>
    <w:p>
      <w:pPr>
        <w:pStyle w:val="724"/>
        <w:spacing w:line="400" w:lineRule="exact"/>
        <w:rPr>
          <w:rFonts w:hint="eastAsia"/>
          <w:b/>
          <w:bCs/>
          <w:color w:val="auto"/>
          <w:highlight w:val="none"/>
        </w:rPr>
      </w:pPr>
      <w:r>
        <w:rPr>
          <w:rFonts w:hint="eastAsia"/>
          <w:b/>
          <w:bCs/>
          <w:color w:val="auto"/>
          <w:highlight w:val="none"/>
          <w:lang w:eastAsia="zh-CN"/>
        </w:rPr>
      </w:r>
      <w:r>
        <w:rPr>
          <w:color w:val="auto"/>
          <w:highlight w:val="none"/>
        </w:rPr>
      </w:r>
    </w:p>
    <w:p>
      <w:pPr>
        <w:pStyle w:val="724"/>
        <w:spacing w:line="400" w:lineRule="exact"/>
        <w:rPr>
          <w:rFonts w:hint="eastAsia"/>
          <w:b/>
          <w:bCs/>
          <w:color w:val="auto"/>
          <w:highlight w:val="none"/>
        </w:rPr>
      </w:pPr>
      <w:r>
        <w:rPr>
          <w:rFonts w:hint="eastAsia"/>
          <w:b/>
          <w:bCs/>
          <w:color w:val="auto"/>
          <w:highlight w:val="none"/>
          <w:lang w:eastAsia="zh-CN"/>
        </w:rPr>
      </w:r>
      <w:r>
        <w:rPr>
          <w:color w:val="auto"/>
          <w:highlight w:val="none"/>
        </w:rPr>
      </w:r>
    </w:p>
    <w:p>
      <w:pPr>
        <w:pStyle w:val="724"/>
        <w:spacing w:line="400" w:lineRule="exact"/>
        <w:rPr>
          <w:rFonts w:hint="eastAsia"/>
          <w:b/>
          <w:bCs/>
          <w:color w:val="auto"/>
          <w:highlight w:val="none"/>
        </w:rPr>
      </w:pPr>
      <w:r>
        <w:rPr>
          <w:rFonts w:hint="eastAsia"/>
          <w:b/>
          <w:bCs/>
          <w:color w:val="auto"/>
          <w:highlight w:val="none"/>
          <w:lang w:eastAsia="zh-CN"/>
        </w:rPr>
      </w:r>
      <w:r>
        <w:rPr>
          <w:color w:val="auto"/>
          <w:highlight w:val="none"/>
        </w:rPr>
      </w:r>
    </w:p>
    <w:p>
      <w:pPr>
        <w:pStyle w:val="724"/>
        <w:spacing w:line="400" w:lineRule="exact"/>
        <w:rPr>
          <w:rFonts w:hint="eastAsia"/>
          <w:b/>
          <w:bCs/>
          <w:color w:val="auto"/>
          <w:highlight w:val="none"/>
        </w:rPr>
      </w:pPr>
      <w:r>
        <w:rPr>
          <w:rFonts w:hint="eastAsia"/>
          <w:b/>
          <w:bCs/>
          <w:color w:val="auto"/>
          <w:highlight w:val="none"/>
          <w:lang w:eastAsia="zh-CN"/>
        </w:rPr>
      </w:r>
      <w:r>
        <w:rPr>
          <w:color w:val="auto"/>
          <w:highlight w:val="none"/>
        </w:rPr>
      </w:r>
    </w:p>
    <w:p>
      <w:pPr>
        <w:pStyle w:val="724"/>
        <w:spacing w:line="400" w:lineRule="exact"/>
        <w:rPr>
          <w:rFonts w:hint="eastAsia"/>
          <w:b/>
          <w:bCs/>
          <w:color w:val="auto"/>
          <w:highlight w:val="none"/>
        </w:rPr>
      </w:pPr>
      <w:r>
        <w:rPr>
          <w:rFonts w:hint="eastAsia"/>
          <w:b/>
          <w:bCs/>
          <w:color w:val="auto"/>
          <w:highlight w:val="none"/>
          <w:lang w:eastAsia="zh-CN"/>
        </w:rPr>
      </w:r>
      <w:r>
        <w:rPr>
          <w:color w:val="auto"/>
          <w:highlight w:val="none"/>
        </w:rPr>
      </w:r>
    </w:p>
    <w:p>
      <w:pPr>
        <w:pStyle w:val="724"/>
        <w:spacing w:line="400" w:lineRule="exact"/>
        <w:rPr>
          <w:rFonts w:hint="eastAsia"/>
          <w:b/>
          <w:bCs/>
          <w:color w:val="auto"/>
          <w:highlight w:val="none"/>
        </w:rPr>
      </w:pPr>
      <w:r>
        <w:rPr>
          <w:rFonts w:hint="eastAsia"/>
          <w:b/>
          <w:bCs/>
          <w:color w:val="auto"/>
          <w:highlight w:val="none"/>
          <w:lang w:eastAsia="zh-CN"/>
        </w:rPr>
      </w:r>
      <w:r>
        <w:rPr>
          <w:color w:val="auto"/>
          <w:highlight w:val="none"/>
        </w:rPr>
      </w:r>
    </w:p>
    <w:p>
      <w:pPr>
        <w:pStyle w:val="724"/>
        <w:spacing w:line="400" w:lineRule="exact"/>
        <w:rPr>
          <w:rFonts w:hint="eastAsia"/>
          <w:b/>
          <w:bCs/>
          <w:color w:val="auto"/>
          <w:highlight w:val="none"/>
        </w:rPr>
      </w:pPr>
      <w:r>
        <w:rPr>
          <w:rFonts w:hint="eastAsia"/>
          <w:b/>
          <w:bCs/>
          <w:color w:val="auto"/>
          <w:highlight w:val="none"/>
          <w:lang w:eastAsia="zh-CN"/>
        </w:rPr>
      </w:r>
      <w:r>
        <w:rPr>
          <w:color w:val="auto"/>
          <w:highlight w:val="none"/>
        </w:rPr>
      </w:r>
    </w:p>
    <w:p>
      <w:pPr>
        <w:pStyle w:val="724"/>
        <w:spacing w:line="400" w:lineRule="exact"/>
        <w:rPr>
          <w:rFonts w:hint="eastAsia"/>
          <w:b/>
          <w:bCs/>
          <w:color w:val="auto"/>
          <w:highlight w:val="none"/>
        </w:rPr>
      </w:pPr>
      <w:r>
        <w:rPr>
          <w:rFonts w:hint="eastAsia"/>
          <w:b/>
          <w:bCs/>
          <w:color w:val="auto"/>
          <w:highlight w:val="none"/>
          <w:lang w:eastAsia="zh-CN"/>
        </w:rPr>
      </w:r>
      <w:r>
        <w:rPr>
          <w:color w:val="auto"/>
          <w:highlight w:val="none"/>
        </w:rPr>
      </w:r>
    </w:p>
    <w:p>
      <w:pPr>
        <w:pStyle w:val="724"/>
        <w:spacing w:line="400" w:lineRule="exact"/>
        <w:rPr>
          <w:rFonts w:hint="eastAsia"/>
          <w:b/>
          <w:bCs/>
          <w:color w:val="auto"/>
          <w:highlight w:val="none"/>
        </w:rPr>
      </w:pPr>
      <w:r>
        <w:rPr>
          <w:rFonts w:hint="eastAsia"/>
          <w:b/>
          <w:bCs/>
          <w:color w:val="auto"/>
          <w:highlight w:val="none"/>
          <w:lang w:eastAsia="zh-CN"/>
        </w:rPr>
      </w:r>
      <w:r>
        <w:rPr>
          <w:color w:val="auto"/>
          <w:highlight w:val="none"/>
        </w:rPr>
      </w:r>
    </w:p>
    <w:p>
      <w:pPr>
        <w:pStyle w:val="712"/>
        <w:jc w:val="center"/>
        <w:rPr>
          <w:color w:val="auto"/>
          <w:highlight w:val="none"/>
        </w:rPr>
      </w:pPr>
      <w:r>
        <w:rPr>
          <w:rFonts w:hint="eastAsia"/>
          <w:color w:val="auto"/>
          <w:highlight w:val="none"/>
          <w:lang w:val="en-US" w:eastAsia="zh-CN"/>
        </w:rPr>
        <w:t xml:space="preserve">2.</w:t>
      </w:r>
      <w:r>
        <w:rPr>
          <w:color w:val="auto"/>
          <w:highlight w:val="none"/>
        </w:rPr>
        <w:t xml:space="preserve">中小企业声明函</w:t>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本公司郑重声明，根据《政府采购促进中小企业发展管理办法》（财库﹝2020﹞46号）的规定，本公司参加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采购活动，工程的施工单位全部为符合政策要求的中小企业。</w:t>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（标的名称） </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（采购文件中明确的所属行业） </w:t>
      </w:r>
      <w:r>
        <w:rPr>
          <w:rFonts w:hint="eastAsia" w:ascii="宋体" w:hAnsi="宋体" w:eastAsia="宋体" w:cs="宋体"/>
          <w:color w:val="auto"/>
          <w:sz w:val="24"/>
          <w:highlight w:val="none"/>
        </w:rPr>
        <w:t xml:space="preserve">行业；承建企业为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 </w:t>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 </w:t>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bCs/>
          <w:color w:val="auto"/>
          <w:sz w:val="24"/>
          <w:highlight w:val="none"/>
        </w:rPr>
        <w:t xml:space="preserve">企业名称（盖章）</w:t>
      </w:r>
      <w:r>
        <w:rPr>
          <w:rFonts w:hint="eastAsia" w:ascii="宋体" w:hAnsi="宋体" w:eastAsia="宋体" w:cs="宋体"/>
          <w:color w:val="auto"/>
          <w:sz w:val="24"/>
          <w:szCs w:val="21"/>
          <w:highlight w:val="none"/>
        </w:rPr>
        <w:t xml:space="preserve">：</w:t>
      </w:r>
      <w:r>
        <w:rPr>
          <w:color w:val="auto"/>
          <w:highlight w:val="none"/>
        </w:rPr>
      </w:r>
    </w:p>
    <w:p>
      <w:pPr>
        <w:ind w:firstLine="5040"/>
        <w:spacing w:line="56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rPr>
          <w:color w:val="auto"/>
          <w:highlight w:val="none"/>
        </w:rPr>
      </w:r>
    </w:p>
    <w:p>
      <w:pPr>
        <w:ind w:righ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firstLine="482"/>
        <w:jc w:val="left"/>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rPr>
          <w:color w:val="auto"/>
          <w:highlight w:val="none"/>
        </w:rP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从业人员、营业收入、资产总额填报上一年度数据，无上一年度数据的新成立企业可不填报。</w:t>
      </w:r>
      <w:r>
        <w:rPr>
          <w:color w:val="auto"/>
          <w:highlight w:val="none"/>
        </w:rP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2、请供应商如实填写，所填内容将作为评审的依据。如填写不完整，将不享受扶持政策。</w:t>
      </w:r>
      <w:r>
        <w:rPr>
          <w:color w:val="auto"/>
          <w:highlight w:val="none"/>
        </w:rP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3、成交供应商的《中小企业声明函》随成交结果公开。</w:t>
      </w:r>
      <w:r>
        <w:rPr>
          <w:color w:val="auto"/>
          <w:highlight w:val="none"/>
        </w:rPr>
      </w:r>
    </w:p>
    <w:p>
      <w:pPr>
        <w:ind w:firstLine="6776"/>
        <w:spacing w:line="360" w:lineRule="auto"/>
        <w:rPr>
          <w:rFonts w:hint="eastAsia" w:ascii="宋体" w:hAnsi="宋体" w:eastAsia="宋体" w:cs="宋体"/>
          <w:b/>
          <w:color w:val="auto"/>
          <w:sz w:val="30"/>
          <w:szCs w:val="30"/>
          <w:highlight w:val="none"/>
          <w:u w:val="single"/>
        </w:rPr>
      </w:pPr>
      <w:r>
        <w:rPr>
          <w:rFonts w:hint="eastAsia" w:ascii="宋体" w:hAnsi="宋体" w:eastAsia="宋体" w:cs="宋体"/>
          <w:b/>
          <w:color w:val="auto"/>
          <w:sz w:val="30"/>
          <w:szCs w:val="30"/>
          <w:highlight w:val="none"/>
          <w:u w:val="single"/>
        </w:rPr>
      </w:r>
      <w:r>
        <w:rPr>
          <w:color w:val="auto"/>
          <w:highlight w:val="none"/>
        </w:rPr>
      </w:r>
    </w:p>
    <w:p>
      <w:pPr>
        <w:jc w:val="center"/>
        <w:spacing w:before="156" w:after="156" w:line="360" w:lineRule="auto"/>
        <w:rPr>
          <w:rStyle w:val="766"/>
          <w:color w:val="auto"/>
          <w:highlight w:val="none"/>
        </w:rPr>
      </w:pPr>
      <w:r>
        <w:rPr>
          <w:rFonts w:hint="eastAsia" w:ascii="黑体" w:hAnsi="黑体" w:eastAsia="黑体" w:cs="宋体"/>
          <w:bCs/>
          <w:color w:val="auto"/>
          <w:sz w:val="36"/>
          <w:szCs w:val="28"/>
          <w:highlight w:val="none"/>
        </w:rPr>
        <w:br w:type="page" w:clear="all"/>
      </w:r>
      <w:r>
        <w:rPr>
          <w:rStyle w:val="766"/>
          <w:rFonts w:hint="eastAsia"/>
          <w:color w:val="auto"/>
          <w:highlight w:val="none"/>
          <w:lang w:val="en-US" w:eastAsia="zh-CN"/>
        </w:rPr>
        <w:t xml:space="preserve">3.</w:t>
      </w:r>
      <w:r>
        <w:rPr>
          <w:rStyle w:val="766"/>
          <w:rFonts w:hint="eastAsia"/>
          <w:color w:val="auto"/>
          <w:highlight w:val="none"/>
        </w:rPr>
        <w:t xml:space="preserve">残疾人福利性单位声明函</w:t>
      </w:r>
      <w:r>
        <w:rPr>
          <w:color w:val="auto"/>
          <w:highlight w:val="none"/>
        </w:rPr>
      </w:r>
    </w:p>
    <w:p>
      <w:pPr>
        <w:ind w:firstLine="480"/>
        <w:spacing w:line="360" w:lineRule="auto"/>
        <w:rPr>
          <w:color w:val="auto"/>
          <w:sz w:val="24"/>
          <w:szCs w:val="21"/>
          <w:highlight w:val="none"/>
        </w:rPr>
      </w:pPr>
      <w:r>
        <w:rPr>
          <w:rFonts w:hint="eastAsia"/>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1"/>
          <w:highlight w:val="none"/>
          <w:u w:val="single"/>
        </w:rPr>
        <w:t xml:space="preserve">          </w:t>
      </w:r>
      <w:r>
        <w:rPr>
          <w:rFonts w:hint="eastAsia"/>
          <w:color w:val="auto"/>
          <w:sz w:val="24"/>
          <w:szCs w:val="21"/>
          <w:highlight w:val="none"/>
        </w:rPr>
        <w:t xml:space="preserve">单位的</w:t>
      </w:r>
      <w:r>
        <w:rPr>
          <w:rFonts w:hint="eastAsia"/>
          <w:color w:val="auto"/>
          <w:sz w:val="24"/>
          <w:szCs w:val="21"/>
          <w:highlight w:val="none"/>
          <w:u w:val="single"/>
        </w:rPr>
        <w:t xml:space="preserve">         </w:t>
      </w:r>
      <w:r>
        <w:rPr>
          <w:rFonts w:hint="eastAsia"/>
          <w:color w:val="auto"/>
          <w:sz w:val="24"/>
          <w:szCs w:val="21"/>
          <w:highlight w:val="none"/>
        </w:rPr>
        <w:t xml:space="preserve">项目由本单位承建。</w:t>
      </w:r>
      <w:r>
        <w:rPr>
          <w:color w:val="auto"/>
          <w:highlight w:val="none"/>
        </w:rPr>
      </w:r>
    </w:p>
    <w:p>
      <w:pPr>
        <w:ind w:firstLine="480"/>
        <w:spacing w:line="360" w:lineRule="auto"/>
        <w:rPr>
          <w:color w:val="auto"/>
          <w:sz w:val="24"/>
          <w:szCs w:val="21"/>
          <w:highlight w:val="none"/>
        </w:rPr>
      </w:pPr>
      <w:r>
        <w:rPr>
          <w:rFonts w:hint="eastAsia"/>
          <w:color w:val="auto"/>
          <w:sz w:val="24"/>
          <w:szCs w:val="21"/>
          <w:highlight w:val="none"/>
        </w:rPr>
        <w:t xml:space="preserve">本单位对上述声明的真实性负责。如有虚假，将依法承担相应责任。</w:t>
      </w:r>
      <w:r>
        <w:rPr>
          <w:color w:val="auto"/>
          <w:highlight w:val="none"/>
        </w:rPr>
      </w:r>
    </w:p>
    <w:p>
      <w:pPr>
        <w:ind w:firstLine="480"/>
        <w:spacing w:line="360" w:lineRule="auto"/>
        <w:rPr>
          <w:color w:val="auto"/>
          <w:sz w:val="24"/>
          <w:szCs w:val="21"/>
          <w:highlight w:val="none"/>
        </w:rPr>
      </w:pPr>
      <w:r>
        <w:rPr>
          <w:color w:val="auto"/>
          <w:sz w:val="24"/>
          <w:szCs w:val="21"/>
          <w:highlight w:val="none"/>
        </w:rPr>
      </w:r>
      <w:r>
        <w:rPr>
          <w:color w:val="auto"/>
          <w:highlight w:val="none"/>
        </w:rPr>
      </w:r>
    </w:p>
    <w:p>
      <w:pPr>
        <w:ind w:firstLine="480"/>
        <w:spacing w:line="360" w:lineRule="auto"/>
        <w:rPr>
          <w:color w:val="auto"/>
          <w:sz w:val="24"/>
          <w:szCs w:val="21"/>
          <w:highlight w:val="none"/>
        </w:rPr>
      </w:pPr>
      <w:r>
        <w:rPr>
          <w:color w:val="auto"/>
          <w:sz w:val="24"/>
          <w:szCs w:val="21"/>
          <w:highlight w:val="none"/>
        </w:rPr>
      </w:r>
      <w:r>
        <w:rPr>
          <w:color w:val="auto"/>
          <w:highlight w:val="none"/>
        </w:rPr>
      </w:r>
    </w:p>
    <w:p>
      <w:pPr>
        <w:ind w:firstLine="480"/>
        <w:spacing w:line="360" w:lineRule="auto"/>
        <w:rPr>
          <w:color w:val="auto"/>
          <w:sz w:val="24"/>
          <w:szCs w:val="21"/>
          <w:highlight w:val="none"/>
        </w:rPr>
      </w:pPr>
      <w:r>
        <w:rPr>
          <w:color w:val="auto"/>
          <w:sz w:val="24"/>
          <w:szCs w:val="21"/>
          <w:highlight w:val="none"/>
        </w:rPr>
      </w:r>
      <w:r>
        <w:rPr>
          <w:color w:val="auto"/>
          <w:highlight w:val="none"/>
        </w:rPr>
      </w:r>
    </w:p>
    <w:p>
      <w:pPr>
        <w:ind w:firstLine="5040"/>
        <w:spacing w:line="360" w:lineRule="auto"/>
        <w:rPr>
          <w:color w:val="auto"/>
          <w:sz w:val="24"/>
          <w:szCs w:val="21"/>
          <w:highlight w:val="none"/>
        </w:rPr>
      </w:pPr>
      <w:r>
        <w:rPr>
          <w:rFonts w:hint="eastAsia"/>
          <w:color w:val="auto"/>
          <w:sz w:val="24"/>
          <w:szCs w:val="21"/>
          <w:highlight w:val="none"/>
        </w:rPr>
        <w:t xml:space="preserve">企业名称（盖章）：</w:t>
      </w:r>
      <w:r>
        <w:rPr>
          <w:color w:val="auto"/>
          <w:highlight w:val="none"/>
        </w:rPr>
      </w:r>
    </w:p>
    <w:p>
      <w:pPr>
        <w:jc w:val="center"/>
        <w:rPr>
          <w:color w:val="auto"/>
          <w:sz w:val="24"/>
          <w:szCs w:val="21"/>
          <w:highlight w:val="none"/>
        </w:rPr>
      </w:pPr>
      <w:r>
        <w:rPr>
          <w:rFonts w:hint="eastAsia"/>
          <w:color w:val="auto"/>
          <w:sz w:val="24"/>
          <w:szCs w:val="21"/>
          <w:highlight w:val="none"/>
        </w:rPr>
        <w:t xml:space="preserve">　　　　　　　　　　　　　日期：   年   月   日</w:t>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right="480"/>
        <w:spacing w:line="360" w:lineRule="auto"/>
        <w:rPr>
          <w:rFonts w:ascii="宋体" w:hAnsi="宋体"/>
          <w:b/>
          <w:color w:val="auto"/>
          <w:sz w:val="24"/>
          <w:highlight w:val="none"/>
        </w:rPr>
      </w:pPr>
      <w:r>
        <w:rPr>
          <w:rFonts w:ascii="宋体" w:hAnsi="宋体"/>
          <w:b/>
          <w:color w:val="auto"/>
          <w:sz w:val="24"/>
          <w:highlight w:val="none"/>
        </w:rPr>
      </w:r>
      <w:r>
        <w:rPr>
          <w:color w:val="auto"/>
          <w:highlight w:val="none"/>
        </w:rPr>
      </w:r>
    </w:p>
    <w:p>
      <w:pPr>
        <w:ind w:firstLine="480"/>
        <w:jc w:val="left"/>
        <w:spacing w:line="360" w:lineRule="auto"/>
        <w:rPr>
          <w:rFonts w:ascii="宋体" w:hAnsi="宋体"/>
          <w:bCs/>
          <w:color w:val="auto"/>
          <w:sz w:val="24"/>
          <w:highlight w:val="none"/>
        </w:rPr>
      </w:pPr>
      <w:r>
        <w:rPr>
          <w:rFonts w:ascii="宋体" w:hAnsi="宋体"/>
          <w:bCs/>
          <w:color w:val="auto"/>
          <w:sz w:val="24"/>
          <w:highlight w:val="none"/>
        </w:rPr>
        <w:t xml:space="preserve">填报说明</w:t>
      </w:r>
      <w:r>
        <w:rPr>
          <w:rFonts w:hint="eastAsia" w:ascii="宋体" w:hAnsi="宋体"/>
          <w:bCs/>
          <w:color w:val="auto"/>
          <w:sz w:val="24"/>
          <w:highlight w:val="none"/>
        </w:rPr>
        <w:t xml:space="preserve">：</w:t>
      </w:r>
      <w:r>
        <w:rPr>
          <w:color w:val="auto"/>
          <w:highlight w:val="none"/>
        </w:rP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1、请供应商如实填写，所填内容将作为评审的依据。如填写不完整，将不享受扶持政策。</w:t>
      </w:r>
      <w:r>
        <w:rPr>
          <w:color w:val="auto"/>
          <w:highlight w:val="none"/>
        </w:rP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2、成交供应商的《残疾人福利性单位声明函》随成交结果公开。</w:t>
      </w:r>
      <w:r>
        <w:rPr>
          <w:color w:val="auto"/>
          <w:highlight w:val="none"/>
        </w:rPr>
      </w:r>
    </w:p>
    <w:p>
      <w:pPr>
        <w:spacing w:line="560" w:lineRule="exact"/>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lang w:val="en-US" w:eastAsia="zh-CN"/>
        </w:rPr>
      </w:r>
      <w:r>
        <w:rPr>
          <w:color w:val="auto"/>
          <w:highlight w:val="none"/>
        </w:rPr>
      </w:r>
    </w:p>
    <w:p>
      <w:pPr>
        <w:jc w:val="center"/>
        <w:spacing w:line="560" w:lineRule="exact"/>
        <w:rPr>
          <w:rStyle w:val="766"/>
          <w:rFonts w:hint="eastAsia"/>
          <w:color w:val="auto"/>
          <w:highlight w:val="none"/>
        </w:rPr>
        <w:outlineLvl w:val="0"/>
      </w:pPr>
      <w:r>
        <w:rPr>
          <w:rFonts w:hint="eastAsia" w:ascii="宋体" w:hAnsi="宋体" w:eastAsia="宋体" w:cs="宋体"/>
          <w:b/>
          <w:color w:val="auto"/>
          <w:sz w:val="28"/>
          <w:szCs w:val="28"/>
          <w:highlight w:val="none"/>
          <w:lang w:val="en-US" w:eastAsia="zh-CN"/>
        </w:rPr>
        <w:br w:type="page" w:clear="all"/>
      </w:r>
      <w:bookmarkEnd w:id="284"/>
      <w:r>
        <w:rPr>
          <w:color w:val="auto"/>
          <w:highlight w:val="none"/>
        </w:rPr>
      </w:r>
      <w:bookmarkEnd w:id="285"/>
      <w:r>
        <w:rPr>
          <w:color w:val="auto"/>
          <w:highlight w:val="none"/>
        </w:rPr>
      </w:r>
      <w:bookmarkStart w:id="287" w:name="_Toc26401"/>
      <w:r>
        <w:rPr>
          <w:color w:val="auto"/>
          <w:highlight w:val="none"/>
        </w:rPr>
      </w:r>
      <w:bookmarkStart w:id="288" w:name="_Toc14505"/>
      <w:r>
        <w:rPr>
          <w:rFonts w:hint="eastAsia" w:ascii="宋体" w:hAnsi="宋体" w:cs="宋体"/>
          <w:b/>
          <w:color w:val="auto"/>
          <w:sz w:val="28"/>
          <w:szCs w:val="28"/>
          <w:highlight w:val="none"/>
          <w:lang w:val="en-US" w:eastAsia="zh-CN"/>
        </w:rPr>
        <w:t xml:space="preserve">    </w:t>
      </w:r>
      <w:r>
        <w:rPr>
          <w:rStyle w:val="766"/>
          <w:rFonts w:hint="eastAsia"/>
          <w:color w:val="auto"/>
          <w:highlight w:val="none"/>
          <w:lang w:val="en-US" w:eastAsia="zh-CN"/>
        </w:rPr>
        <w:t xml:space="preserve"> </w:t>
      </w:r>
      <w:bookmarkStart w:id="289" w:name="_Toc16542"/>
      <w:r>
        <w:rPr>
          <w:rStyle w:val="766"/>
          <w:rFonts w:hint="eastAsia"/>
          <w:color w:val="auto"/>
          <w:highlight w:val="none"/>
          <w:lang w:val="en-US" w:eastAsia="zh-CN"/>
        </w:rPr>
        <w:t xml:space="preserve">4.资格证明文件</w:t>
      </w:r>
      <w:bookmarkEnd w:id="286"/>
      <w:r>
        <w:rPr>
          <w:color w:val="auto"/>
          <w:highlight w:val="none"/>
        </w:rPr>
      </w:r>
      <w:bookmarkEnd w:id="287"/>
      <w:r>
        <w:rPr>
          <w:color w:val="auto"/>
          <w:highlight w:val="none"/>
        </w:rPr>
      </w:r>
      <w:bookmarkEnd w:id="288"/>
      <w:r>
        <w:rPr>
          <w:color w:val="auto"/>
          <w:highlight w:val="none"/>
        </w:rPr>
      </w:r>
      <w:bookmarkEnd w:id="289"/>
      <w:r>
        <w:rPr>
          <w:color w:val="auto"/>
          <w:highlight w:val="none"/>
        </w:rPr>
      </w:r>
      <w:r>
        <w:rPr>
          <w:color w:val="auto"/>
          <w:highlight w:val="none"/>
        </w:rPr>
      </w:r>
    </w:p>
    <w:p>
      <w:pPr>
        <w:jc w:val="left"/>
        <w:spacing w:before="143"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请根据磋商文件对磋商供应商的资格要求（第一章 竞争性磋商采购</w:t>
      </w:r>
      <w:r>
        <w:rPr>
          <w:rFonts w:hint="eastAsia" w:ascii="宋体" w:hAnsi="宋体" w:eastAsia="宋体" w:cs="宋体"/>
          <w:color w:val="auto"/>
          <w:sz w:val="28"/>
          <w:szCs w:val="28"/>
          <w:highlight w:val="none"/>
          <w:lang w:val="en-US" w:eastAsia="zh-CN"/>
        </w:rPr>
        <w:t xml:space="preserve">公告</w:t>
      </w:r>
      <w:r>
        <w:rPr>
          <w:rFonts w:hint="eastAsia" w:ascii="宋体" w:hAnsi="宋体" w:cs="宋体"/>
          <w:color w:val="auto"/>
          <w:sz w:val="28"/>
          <w:szCs w:val="28"/>
          <w:highlight w:val="none"/>
          <w:lang w:val="en-US" w:eastAsia="zh-CN"/>
        </w:rPr>
        <w:t xml:space="preserve">中</w:t>
      </w:r>
      <w:r>
        <w:rPr>
          <w:rFonts w:hint="eastAsia" w:ascii="宋体" w:hAnsi="宋体" w:eastAsia="宋体" w:cs="宋体"/>
          <w:color w:val="auto"/>
          <w:sz w:val="28"/>
          <w:szCs w:val="28"/>
          <w:highlight w:val="none"/>
        </w:rPr>
        <w:t xml:space="preserve">申请人的资格要求），提供资格证明文件。</w:t>
      </w:r>
      <w:r>
        <w:rPr>
          <w:color w:val="auto"/>
          <w:highlight w:val="none"/>
        </w:rPr>
      </w:r>
    </w:p>
    <w:p>
      <w:pPr>
        <w:pStyle w:val="712"/>
        <w:jc w:val="center"/>
        <w:rPr>
          <w:rFonts w:hint="eastAsia"/>
          <w:color w:val="auto"/>
          <w:highlight w:val="none"/>
        </w:rPr>
      </w:pPr>
      <w:r>
        <w:rPr>
          <w:rFonts w:hint="eastAsia" w:ascii="宋体" w:hAnsi="宋体" w:eastAsia="宋体" w:cs="宋体"/>
          <w:b/>
          <w:color w:val="auto"/>
          <w:szCs w:val="32"/>
          <w:highlight w:val="none"/>
        </w:rPr>
        <w:br w:type="page" w:clear="all"/>
      </w:r>
      <w:r>
        <w:rPr>
          <w:rFonts w:hint="eastAsia"/>
          <w:color w:val="auto"/>
          <w:highlight w:val="none"/>
          <w:lang w:val="en-US" w:eastAsia="zh-CN"/>
        </w:rPr>
        <w:t xml:space="preserve">5.</w:t>
      </w:r>
      <w:r>
        <w:rPr>
          <w:rFonts w:hint="eastAsia"/>
          <w:color w:val="auto"/>
          <w:highlight w:val="none"/>
        </w:rPr>
        <w:t xml:space="preserve">财务状况报告及税收、社会保障资金缴纳情况承诺函</w:t>
      </w:r>
      <w:r>
        <w:rPr>
          <w:color w:val="auto"/>
          <w:highlight w:val="none"/>
        </w:rPr>
      </w:r>
    </w:p>
    <w:p>
      <w:pPr>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致：</w:t>
      </w:r>
      <w:r>
        <w:rPr>
          <w:rFonts w:hint="eastAsia" w:ascii="宋体" w:hAnsi="宋体" w:eastAsia="宋体" w:cs="宋体"/>
          <w:i w:val="0"/>
          <w:iCs w:val="0"/>
          <w:color w:val="auto"/>
          <w:sz w:val="24"/>
          <w:szCs w:val="24"/>
          <w:highlight w:val="none"/>
          <w:u w:val="single"/>
        </w:rPr>
        <w:t xml:space="preserve">采购人名称</w:t>
      </w:r>
      <w:r>
        <w:rPr>
          <w:color w:val="auto"/>
          <w:highlight w:val="none"/>
        </w:rPr>
      </w:r>
    </w:p>
    <w:p>
      <w:pPr>
        <w:ind w:firstLine="48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w:t>
      </w:r>
      <w:r>
        <w:rPr>
          <w:rFonts w:hint="eastAsia" w:ascii="宋体" w:hAnsi="宋体" w:eastAsia="宋体" w:cs="宋体"/>
          <w:i w:val="0"/>
          <w:iCs w:val="0"/>
          <w:color w:val="auto"/>
          <w:sz w:val="24"/>
          <w:szCs w:val="24"/>
          <w:highlight w:val="none"/>
          <w:u w:val="single"/>
        </w:rPr>
        <w:t xml:space="preserve">供应商名称</w:t>
      </w:r>
      <w:r>
        <w:rPr>
          <w:rFonts w:hint="eastAsia" w:ascii="宋体" w:hAnsi="宋体" w:eastAsia="宋体" w:cs="宋体"/>
          <w:i w:val="0"/>
          <w:iCs w:val="0"/>
          <w:color w:val="auto"/>
          <w:sz w:val="24"/>
          <w:szCs w:val="24"/>
          <w:highlight w:val="none"/>
        </w:rPr>
        <w:t xml:space="preserve">参加</w:t>
      </w:r>
      <w:r>
        <w:rPr>
          <w:rFonts w:hint="eastAsia" w:ascii="宋体" w:hAnsi="宋体" w:eastAsia="宋体" w:cs="宋体"/>
          <w:i w:val="0"/>
          <w:iCs w:val="0"/>
          <w:color w:val="auto"/>
          <w:sz w:val="24"/>
          <w:szCs w:val="24"/>
          <w:highlight w:val="none"/>
          <w:u w:val="single"/>
        </w:rPr>
        <w:t xml:space="preserve">项目名称</w:t>
      </w:r>
      <w:r>
        <w:rPr>
          <w:rFonts w:hint="eastAsia" w:ascii="宋体" w:hAnsi="宋体" w:eastAsia="宋体" w:cs="宋体"/>
          <w:i w:val="0"/>
          <w:iCs w:val="0"/>
          <w:color w:val="auto"/>
          <w:sz w:val="24"/>
          <w:szCs w:val="24"/>
          <w:highlight w:val="none"/>
        </w:rPr>
        <w:t xml:space="preserve">（项目编号：</w:t>
      </w:r>
      <w:r>
        <w:rPr>
          <w:rFonts w:hint="eastAsia" w:ascii="宋体" w:hAnsi="宋体" w:eastAsia="宋体" w:cs="宋体"/>
          <w:i w:val="0"/>
          <w:iCs w:val="0"/>
          <w:color w:val="auto"/>
          <w:sz w:val="24"/>
          <w:szCs w:val="24"/>
          <w:highlight w:val="none"/>
          <w:u w:val="single"/>
        </w:rPr>
        <w:t xml:space="preserve">项目编号</w:t>
      </w:r>
      <w:r>
        <w:rPr>
          <w:rFonts w:hint="eastAsia" w:ascii="宋体" w:hAnsi="宋体" w:eastAsia="宋体" w:cs="宋体"/>
          <w:i w:val="0"/>
          <w:iCs w:val="0"/>
          <w:color w:val="auto"/>
          <w:sz w:val="24"/>
          <w:szCs w:val="24"/>
          <w:highlight w:val="none"/>
        </w:rPr>
        <w:t xml:space="preserve">）采购，根据《</w:t>
      </w:r>
      <w:r>
        <w:rPr>
          <w:rStyle w:val="957"/>
          <w:rFonts w:hint="eastAsia" w:ascii="宋体" w:hAnsi="宋体" w:eastAsia="宋体" w:cs="宋体"/>
          <w:b w:val="0"/>
          <w:i w:val="0"/>
          <w:iCs w:val="0"/>
          <w:color w:val="auto"/>
          <w:sz w:val="24"/>
          <w:szCs w:val="24"/>
          <w:highlight w:val="none"/>
        </w:rPr>
        <w:t xml:space="preserve">关于简化政府采购供应商资格审查有关事项的通知</w:t>
      </w:r>
      <w:r>
        <w:rPr>
          <w:rFonts w:hint="eastAsia" w:ascii="宋体" w:hAnsi="宋体" w:eastAsia="宋体" w:cs="宋体"/>
          <w:i w:val="0"/>
          <w:iCs w:val="0"/>
          <w:color w:val="auto"/>
          <w:sz w:val="24"/>
          <w:szCs w:val="24"/>
          <w:highlight w:val="none"/>
        </w:rPr>
        <w:t xml:space="preserve">》（连财购〔2023〕4号），我方承诺具备《中华人民共和国政府采购法》第二十二条第（二）、第（四）项，《中华人民共和国政府采购法实施条例》第十七条第（二）项规定条件的，具体包括：</w:t>
      </w:r>
      <w:r>
        <w:rPr>
          <w:color w:val="auto"/>
          <w:highlight w:val="none"/>
        </w:rP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（1）具有良好的商业信誉和健全的财务会计制度（财务状况报告）；</w:t>
      </w:r>
      <w:r>
        <w:rPr>
          <w:color w:val="auto"/>
          <w:highlight w:val="none"/>
        </w:rPr>
      </w:r>
    </w:p>
    <w:p>
      <w:pPr>
        <w:ind w:left="360" w:firstLine="240"/>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（2）有依法缴纳税收和社会保障资金的良好记录。</w:t>
      </w:r>
      <w:r>
        <w:rPr>
          <w:color w:val="auto"/>
          <w:highlight w:val="none"/>
        </w:rP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color w:val="auto"/>
          <w:highlight w:val="none"/>
        </w:rPr>
      </w:r>
    </w:p>
    <w:p>
      <w:pPr>
        <w:ind w:firstLine="480"/>
        <w:jc w:val="left"/>
        <w:spacing w:line="56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特此承诺</w:t>
      </w:r>
      <w:r>
        <w:rPr>
          <w:color w:val="auto"/>
          <w:highlight w:val="none"/>
        </w:rP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rPr>
          <w:color w:val="auto"/>
          <w:highlight w:val="none"/>
        </w:rP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rPr>
          <w:color w:val="auto"/>
          <w:highlight w:val="none"/>
        </w:rP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供应商（公章）：          </w:t>
      </w:r>
      <w:r>
        <w:rPr>
          <w:color w:val="auto"/>
          <w:highlight w:val="none"/>
        </w:rP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rPr>
          <w:color w:val="auto"/>
          <w:highlight w:val="none"/>
        </w:rP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法定代表人或其委托代理人（签名或签章）：</w:t>
      </w:r>
      <w:r>
        <w:rPr>
          <w:color w:val="auto"/>
          <w:highlight w:val="none"/>
        </w:rP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r>
      <w:r>
        <w:rPr>
          <w:color w:val="auto"/>
          <w:highlight w:val="none"/>
        </w:rPr>
      </w:r>
    </w:p>
    <w:p>
      <w:pPr>
        <w:ind w:left="360" w:firstLine="405"/>
        <w:spacing w:line="56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日期：</w:t>
      </w:r>
      <w:r>
        <w:rPr>
          <w:color w:val="auto"/>
          <w:highlight w:val="none"/>
        </w:rPr>
      </w:r>
    </w:p>
    <w:p>
      <w:pPr>
        <w:ind w:right="0" w:firstLine="480"/>
        <w:jc w:val="left"/>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rPr>
          <w:color w:val="auto"/>
          <w:highlight w:val="none"/>
        </w:rPr>
      </w:r>
    </w:p>
    <w:p>
      <w:pPr>
        <w:ind w:right="0" w:firstLine="643"/>
        <w:jc w:val="center"/>
        <w:keepLines w:val="0"/>
        <w:keepNext w:val="0"/>
        <w:pageBreakBefore w:val="0"/>
        <w:spacing w:line="360" w:lineRule="auto"/>
        <w:widowControl w:val="off"/>
        <w:rPr>
          <w:rFonts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br w:type="page" w:clear="all"/>
      </w:r>
      <w:r>
        <w:rPr>
          <w:rStyle w:val="766"/>
          <w:rFonts w:hint="eastAsia"/>
          <w:color w:val="auto"/>
          <w:highlight w:val="none"/>
          <w:lang w:val="en-US" w:eastAsia="zh-CN"/>
        </w:rPr>
        <w:t xml:space="preserve">6.</w:t>
      </w:r>
      <w:r>
        <w:rPr>
          <w:rStyle w:val="766"/>
          <w:rFonts w:hint="eastAsia"/>
          <w:color w:val="auto"/>
          <w:highlight w:val="none"/>
        </w:rPr>
        <w:t xml:space="preserve">具备履行合同所必需的设备和专业技术能力的声明</w:t>
      </w:r>
      <w:r>
        <w:rPr>
          <w:rStyle w:val="766"/>
          <w:rFonts w:hint="eastAsia"/>
          <w:color w:val="auto"/>
          <w:highlight w:val="none"/>
          <w:lang w:val="en-US" w:eastAsia="zh-CN"/>
        </w:rPr>
        <w:t xml:space="preserve">及证明材料</w:t>
      </w:r>
      <w:r>
        <w:rPr>
          <w:color w:val="auto"/>
          <w:highlight w:val="none"/>
        </w:rPr>
      </w:r>
    </w:p>
    <w:p>
      <w:pPr>
        <w:ind w:firstLine="492"/>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公司郑重声明：我单位具备履行本项采购合同所必需的设备和专业技术能力，为履行本项采购合同我单位具备如下主要设备和主要专业技术能力：</w:t>
      </w:r>
      <w:r>
        <w:rPr>
          <w:color w:val="auto"/>
          <w:highlight w:val="none"/>
        </w:rP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主要设备有：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color w:val="auto"/>
          <w:highlight w:val="none"/>
        </w:rPr>
      </w:r>
    </w:p>
    <w:p>
      <w:pPr>
        <w:ind w:firstLine="492"/>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主要专业技术能力有：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color w:val="auto"/>
          <w:highlight w:val="none"/>
        </w:rPr>
      </w:r>
    </w:p>
    <w:p>
      <w:pPr>
        <w:ind w:firstLine="492"/>
        <w:jc w:val="both"/>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注：须附证明材料。</w:t>
      </w:r>
      <w:r>
        <w:rPr>
          <w:color w:val="auto"/>
          <w:highlight w:val="none"/>
        </w:rPr>
      </w:r>
    </w:p>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r>
      <w:r>
        <w:rPr>
          <w:color w:val="auto"/>
          <w:highlight w:val="none"/>
        </w:rPr>
      </w:r>
    </w:p>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r>
      <w:r>
        <w:rPr>
          <w:color w:val="auto"/>
          <w:highlight w:val="none"/>
        </w:rP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rPr>
          <w:color w:val="auto"/>
          <w:highlight w:val="none"/>
        </w:rPr>
      </w:r>
    </w:p>
    <w:p>
      <w:pPr>
        <w:jc w:val="left"/>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法定代表人或授权委托人（签字或盖章）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      </w:t>
      </w:r>
      <w:r>
        <w:rPr>
          <w:color w:val="auto"/>
          <w:highlight w:val="none"/>
        </w:rPr>
      </w:r>
    </w:p>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color w:val="auto"/>
          <w:highlight w:val="none"/>
        </w:rP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jc w:val="both"/>
        <w:keepLines w:val="0"/>
        <w:keepNext w:val="0"/>
        <w:pageBreakBefore w:val="0"/>
        <w:spacing w:line="360" w:lineRule="auto"/>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6"/>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927"/>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rPr>
          <w:color w:val="auto"/>
          <w:highlight w:val="none"/>
        </w:rPr>
      </w:r>
    </w:p>
    <w:p>
      <w:pPr>
        <w:pStyle w:val="712"/>
        <w:jc w:val="center"/>
        <w:rPr>
          <w:rFonts w:hint="eastAsia"/>
          <w:color w:val="auto"/>
          <w:highlight w:val="none"/>
        </w:rPr>
      </w:pPr>
      <w:r>
        <w:rPr>
          <w:rFonts w:hint="eastAsia" w:eastAsia="宋体"/>
          <w:color w:val="auto"/>
          <w:highlight w:val="none"/>
          <w:lang w:val="en-US" w:eastAsia="zh-CN"/>
        </w:rPr>
        <w:t xml:space="preserve">7.</w:t>
      </w:r>
      <w:r>
        <w:rPr>
          <w:rFonts w:hint="eastAsia"/>
          <w:color w:val="auto"/>
          <w:highlight w:val="none"/>
        </w:rPr>
        <w:t xml:space="preserve">参加政府采购活动前 3 年内在经营活动中没有重大违法记录的书面声明</w:t>
      </w:r>
      <w:r>
        <w:rPr>
          <w:color w:val="auto"/>
          <w:highlight w:val="none"/>
        </w:rPr>
      </w:r>
    </w:p>
    <w:p>
      <w:pPr>
        <w:spacing w:line="4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44"/>
          <w:szCs w:val="44"/>
          <w:highlight w:val="none"/>
        </w:rPr>
        <w:t xml:space="preserve">   </w:t>
      </w:r>
      <w:r>
        <w:rPr>
          <w:rFonts w:hint="eastAsia" w:ascii="宋体" w:hAnsi="宋体" w:eastAsia="宋体" w:cs="宋体"/>
          <w:b/>
          <w:bCs/>
          <w:color w:val="auto"/>
          <w:sz w:val="32"/>
          <w:szCs w:val="32"/>
          <w:highlight w:val="none"/>
        </w:rPr>
        <w:t xml:space="preserve">  </w:t>
      </w:r>
      <w:r>
        <w:rPr>
          <w:color w:val="auto"/>
          <w:highlight w:val="none"/>
        </w:rP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color w:val="auto"/>
          <w:highlight w:val="none"/>
        </w:rPr>
      </w:r>
    </w:p>
    <w:p>
      <w:pPr>
        <w:keepLines w:val="0"/>
        <w:keepNext w:val="0"/>
        <w:pageBreakBefore w:val="0"/>
        <w:spacing w:line="360"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color w:val="auto"/>
          <w:highlight w:val="none"/>
        </w:rPr>
      </w:r>
    </w:p>
    <w:p>
      <w:pPr>
        <w:jc w:val="left"/>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rPr>
          <w:color w:val="auto"/>
          <w:highlight w:val="none"/>
        </w:rPr>
      </w:r>
    </w:p>
    <w:p>
      <w:pPr>
        <w:jc w:val="left"/>
        <w:keepLines w:val="0"/>
        <w:keepNext w:val="0"/>
        <w:pageBreakBefore w:val="0"/>
        <w:spacing w:line="360" w:lineRule="auto"/>
        <w:widowControl w:val="off"/>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法定代表人或授权委托人（签字或盖章）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lang w:val="en-US" w:eastAsia="zh-CN"/>
        </w:rPr>
        <w:t xml:space="preserve">      </w:t>
      </w:r>
      <w:r>
        <w:rPr>
          <w:color w:val="auto"/>
          <w:highlight w:val="none"/>
        </w:rPr>
      </w:r>
    </w:p>
    <w:p>
      <w:pPr>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日期：______年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color w:val="auto"/>
          <w:highlight w:val="none"/>
        </w:rPr>
      </w:r>
    </w:p>
    <w:p>
      <w:pPr>
        <w:jc w:val="left"/>
        <w:keepLines w:val="0"/>
        <w:keepNext w:val="0"/>
        <w:pageBreakBefore w:val="0"/>
        <w:spacing w:before="50" w:after="143"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rPr>
          <w:color w:val="auto"/>
          <w:highlight w:val="none"/>
        </w:rPr>
      </w:r>
    </w:p>
    <w:p>
      <w:pPr>
        <w:jc w:val="left"/>
        <w:spacing w:before="50" w:after="143" w:line="56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r>
      <w:r>
        <w:rPr>
          <w:color w:val="auto"/>
          <w:highlight w:val="none"/>
        </w:rPr>
      </w:r>
    </w:p>
    <w:p>
      <w:pPr>
        <w:ind w:firstLine="480"/>
        <w:jc w:val="left"/>
        <w:spacing w:before="50" w:after="143"/>
        <w:rPr>
          <w:rFonts w:hint="eastAsia" w:ascii="宋体" w:hAnsi="宋体" w:eastAsia="宋体" w:cs="宋体"/>
          <w:b/>
          <w:bCs/>
          <w:i/>
          <w:color w:val="auto"/>
          <w:sz w:val="24"/>
          <w:highlight w:val="none"/>
          <w:u w:val="single"/>
        </w:rPr>
      </w:pPr>
      <w:r>
        <w:rPr>
          <w:rFonts w:hint="eastAsia" w:ascii="宋体" w:hAnsi="宋体" w:eastAsia="宋体" w:cs="宋体"/>
          <w:b/>
          <w:bCs/>
          <w:i/>
          <w:color w:val="auto"/>
          <w:sz w:val="24"/>
          <w:highlight w:val="none"/>
          <w:u w:val="single"/>
        </w:rPr>
      </w:r>
      <w:r>
        <w:rPr>
          <w:color w:val="auto"/>
          <w:highlight w:val="none"/>
        </w:rPr>
      </w:r>
    </w:p>
    <w:p>
      <w:pPr>
        <w:jc w:val="center"/>
        <w:spacing w:line="400" w:lineRule="exact"/>
        <w:rPr>
          <w:rStyle w:val="766"/>
          <w:rFonts w:hint="eastAsia"/>
          <w:color w:val="auto"/>
          <w:highlight w:val="none"/>
        </w:rPr>
      </w:pPr>
      <w:r>
        <w:rPr>
          <w:rFonts w:hint="eastAsia" w:ascii="宋体" w:hAnsi="宋体" w:eastAsia="宋体" w:cs="宋体"/>
          <w:b/>
          <w:bCs/>
          <w:color w:val="auto"/>
          <w:szCs w:val="21"/>
          <w:highlight w:val="none"/>
        </w:rPr>
        <w:br w:type="page" w:clear="all"/>
      </w:r>
      <w:bookmarkStart w:id="290" w:name="_Toc91256337"/>
      <w:r>
        <w:rPr>
          <w:color w:val="auto"/>
          <w:highlight w:val="none"/>
        </w:rPr>
      </w:r>
      <w:bookmarkStart w:id="291" w:name="_Toc91183849"/>
      <w:r>
        <w:rPr>
          <w:rStyle w:val="766"/>
          <w:rFonts w:hint="eastAsia"/>
          <w:color w:val="auto"/>
          <w:highlight w:val="none"/>
          <w:lang w:val="en-US" w:eastAsia="zh-CN"/>
        </w:rPr>
        <w:t xml:space="preserve">8.</w:t>
      </w:r>
      <w:r>
        <w:rPr>
          <w:rStyle w:val="766"/>
          <w:rFonts w:hint="eastAsia"/>
          <w:color w:val="auto"/>
          <w:highlight w:val="none"/>
        </w:rPr>
        <w:t xml:space="preserve">法定代表人授权委托书</w:t>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本授权书声明：____________（供应商名称）授权________________（被授权人的姓名）为我方就</w:t>
      </w:r>
      <w:r>
        <w:rPr>
          <w:rFonts w:ascii="Times New Roman" w:hAnsi="Times New Roman" w:cs="Times New Roman"/>
          <w:color w:val="auto"/>
          <w:sz w:val="24"/>
          <w:szCs w:val="24"/>
          <w:highlight w:val="none"/>
          <w:u w:val="single"/>
        </w:rPr>
        <w:t xml:space="preserve">        </w:t>
      </w:r>
      <w:r>
        <w:rPr>
          <w:rFonts w:ascii="Times New Roman" w:hAnsi="Times New Roman" w:cs="Times New Roman"/>
          <w:color w:val="auto"/>
          <w:sz w:val="24"/>
          <w:szCs w:val="24"/>
          <w:highlight w:val="none"/>
        </w:rPr>
        <w:t xml:space="preserve">号项目采购活动的合法代理人，以本单位名义全权处理一切与该项目采购有关的事务。</w:t>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本授权书于______年____月____日起生效，特此声明。</w:t>
      </w:r>
      <w:r>
        <w:rPr>
          <w:color w:val="auto"/>
          <w:highlight w:val="none"/>
        </w:rPr>
      </w:r>
    </w:p>
    <w:p>
      <w:pPr>
        <w:pStyle w:val="951"/>
        <w:ind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被授权人身份证号码：</w:t>
      </w:r>
      <w:r>
        <w:rPr>
          <w:rFonts w:ascii="Times New Roman" w:hAnsi="Times New Roman" w:cs="Times New Roman"/>
          <w:color w:val="auto"/>
          <w:sz w:val="24"/>
          <w:szCs w:val="24"/>
          <w:highlight w:val="none"/>
          <w:u w:val="single"/>
        </w:rPr>
        <w:t xml:space="preserve">                              </w:t>
      </w:r>
      <w:r>
        <w:rPr>
          <w:color w:val="auto"/>
          <w:highlight w:val="none"/>
        </w:rPr>
      </w:r>
    </w:p>
    <w:p>
      <w:pPr>
        <w:pStyle w:val="951"/>
        <w:ind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被授权人联系电话：（手机）</w:t>
      </w:r>
      <w:r>
        <w:rPr>
          <w:rFonts w:ascii="Times New Roman" w:hAnsi="Times New Roman" w:cs="Times New Roman"/>
          <w:color w:val="auto"/>
          <w:sz w:val="24"/>
          <w:szCs w:val="24"/>
          <w:highlight w:val="none"/>
          <w:u w:val="single"/>
        </w:rPr>
        <w:t xml:space="preserve">                          </w:t>
      </w:r>
      <w:r>
        <w:rPr>
          <w:color w:val="auto"/>
          <w:highlight w:val="none"/>
        </w:rPr>
      </w:r>
    </w:p>
    <w:p>
      <w:pPr>
        <w:pStyle w:val="951"/>
        <w:ind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授权单位名称：</w:t>
      </w:r>
      <w:r>
        <w:rPr>
          <w:rFonts w:ascii="Times New Roman" w:hAnsi="Times New Roman" w:cs="Times New Roman"/>
          <w:color w:val="auto"/>
          <w:sz w:val="24"/>
          <w:szCs w:val="24"/>
          <w:highlight w:val="none"/>
          <w:u w:val="single"/>
        </w:rPr>
        <w:t xml:space="preserve">（加盖CA电子公章）</w:t>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单位地址：</w:t>
      </w:r>
      <w:r>
        <w:rPr>
          <w:rFonts w:ascii="Times New Roman" w:hAnsi="Times New Roman" w:cs="Times New Roman"/>
          <w:color w:val="auto"/>
          <w:sz w:val="24"/>
          <w:szCs w:val="24"/>
          <w:highlight w:val="none"/>
          <w:u w:val="single"/>
        </w:rPr>
        <w:t xml:space="preserve">                                         </w:t>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日期：</w:t>
      </w:r>
      <w:r>
        <w:rPr>
          <w:rFonts w:ascii="Times New Roman" w:hAnsi="Times New Roman" w:cs="Times New Roman"/>
          <w:color w:val="auto"/>
          <w:sz w:val="24"/>
          <w:szCs w:val="24"/>
          <w:highlight w:val="none"/>
          <w:u w:val="single"/>
        </w:rPr>
        <w:t xml:space="preserve">                                         </w:t>
      </w:r>
      <w:r>
        <w:rPr>
          <w:color w:val="auto"/>
          <w:highlight w:val="none"/>
        </w:rP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法定代表人（单位负责人）有效期内的身份证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rPr>
          <w:color w:val="auto"/>
          <w:highlight w:val="none"/>
        </w:rP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tc>
      </w:tr>
    </w:tbl>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委托代理人</w:t>
      </w:r>
      <w:r>
        <w:rPr>
          <w:rFonts w:ascii="宋体" w:hAnsi="宋体"/>
          <w:color w:val="auto"/>
          <w:sz w:val="24"/>
          <w:szCs w:val="20"/>
          <w:highlight w:val="none"/>
        </w:rPr>
        <w:t xml:space="preserve">有效期内的身份证</w:t>
      </w:r>
      <w:r>
        <w:rPr>
          <w:rFonts w:ascii="宋体" w:hAnsi="宋体"/>
          <w:b/>
          <w:color w:val="auto"/>
          <w:sz w:val="24"/>
          <w:szCs w:val="20"/>
          <w:highlight w:val="none"/>
        </w:rPr>
        <w:t xml:space="preserve">正反面</w:t>
      </w:r>
      <w:r>
        <w:rPr>
          <w:rFonts w:ascii="宋体" w:hAnsi="宋体"/>
          <w:color w:val="auto"/>
          <w:sz w:val="24"/>
          <w:szCs w:val="20"/>
          <w:highlight w:val="none"/>
        </w:rPr>
        <w:t xml:space="preserve">电子件：</w:t>
      </w:r>
      <w:r>
        <w:rPr>
          <w:color w:val="auto"/>
          <w:highlight w:val="none"/>
        </w:rP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tc>
      </w:tr>
    </w:tbl>
    <w:p>
      <w:pPr>
        <w:jc w:val="left"/>
        <w:keepLines w:val="0"/>
        <w:keepNext w:val="0"/>
        <w:pageBreakBefore w:val="0"/>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填报说明</w:t>
      </w:r>
      <w:r>
        <w:rPr>
          <w:rFonts w:ascii="宋体" w:hAnsi="宋体"/>
          <w:color w:val="auto"/>
          <w:szCs w:val="16"/>
          <w:highlight w:val="none"/>
        </w:rPr>
        <w:t xml:space="preserve">：</w:t>
      </w:r>
      <w:r>
        <w:rPr>
          <w:color w:val="auto"/>
          <w:highlight w:val="none"/>
        </w:rPr>
      </w:r>
    </w:p>
    <w:p>
      <w:pPr>
        <w:ind w:firstLine="480"/>
        <w:jc w:val="left"/>
        <w:keepLines w:val="0"/>
        <w:keepNext w:val="0"/>
        <w:pageBreakBefore w:val="0"/>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1、若供应商为事业单位或其他组织或分支机构（仅当</w:t>
      </w:r>
      <w:r>
        <w:rPr>
          <w:rFonts w:hint="eastAsia" w:ascii="宋体" w:hAnsi="宋体"/>
          <w:color w:val="auto"/>
          <w:szCs w:val="16"/>
          <w:highlight w:val="none"/>
          <w:lang w:eastAsia="zh-CN"/>
        </w:rPr>
        <w:t xml:space="preserve">磋商文件</w:t>
      </w:r>
      <w:r>
        <w:rPr>
          <w:rFonts w:ascii="宋体" w:hAnsi="宋体"/>
          <w:color w:val="auto"/>
          <w:szCs w:val="16"/>
          <w:highlight w:val="none"/>
        </w:rPr>
        <w:t xml:space="preserve">注明允许分支机构</w:t>
      </w:r>
      <w:r>
        <w:rPr>
          <w:rFonts w:hint="eastAsia" w:ascii="宋体" w:hAnsi="宋体"/>
          <w:color w:val="auto"/>
          <w:szCs w:val="16"/>
          <w:highlight w:val="none"/>
        </w:rPr>
        <w:t xml:space="preserve">投标</w:t>
      </w:r>
      <w:r>
        <w:rPr>
          <w:rFonts w:ascii="宋体" w:hAnsi="宋体"/>
          <w:color w:val="auto"/>
          <w:szCs w:val="16"/>
          <w:highlight w:val="none"/>
        </w:rPr>
        <w:t xml:space="preserve">的），则法定代表人（单位负责人）</w:t>
      </w:r>
      <w:r>
        <w:rPr>
          <w:rFonts w:hint="eastAsia" w:ascii="宋体" w:hAnsi="宋体"/>
          <w:color w:val="auto"/>
          <w:szCs w:val="16"/>
          <w:highlight w:val="none"/>
        </w:rPr>
        <w:t xml:space="preserve">处</w:t>
      </w:r>
      <w:r>
        <w:rPr>
          <w:rFonts w:ascii="宋体" w:hAnsi="宋体"/>
          <w:color w:val="auto"/>
          <w:szCs w:val="16"/>
          <w:highlight w:val="none"/>
        </w:rPr>
        <w:t xml:space="preserve">的签署人可为单位负责人</w:t>
      </w:r>
      <w:r>
        <w:rPr>
          <w:rFonts w:hint="eastAsia" w:ascii="宋体" w:hAnsi="宋体"/>
          <w:color w:val="auto"/>
          <w:szCs w:val="16"/>
          <w:highlight w:val="none"/>
        </w:rPr>
        <w:t xml:space="preserve">。</w:t>
      </w:r>
      <w:r>
        <w:rPr>
          <w:color w:val="auto"/>
          <w:highlight w:val="none"/>
        </w:rPr>
      </w:r>
    </w:p>
    <w:p>
      <w:pPr>
        <w:ind w:firstLine="480"/>
        <w:jc w:val="left"/>
        <w:keepLines w:val="0"/>
        <w:keepNext w:val="0"/>
        <w:pageBreakBefore w:val="0"/>
        <w:spacing w:line="360" w:lineRule="auto"/>
        <w:tabs>
          <w:tab w:val="left" w:pos="5580" w:leader="none"/>
        </w:tabs>
        <w:rPr>
          <w:rFonts w:ascii="宋体" w:hAnsi="宋体"/>
          <w:color w:val="auto"/>
          <w:szCs w:val="16"/>
          <w:highlight w:val="none"/>
        </w:rPr>
      </w:pPr>
      <w:r>
        <w:rPr>
          <w:rFonts w:hint="eastAsia" w:ascii="宋体" w:hAnsi="宋体"/>
          <w:color w:val="auto"/>
          <w:szCs w:val="16"/>
          <w:highlight w:val="none"/>
        </w:rPr>
        <w:t xml:space="preserve">2、</w:t>
      </w:r>
      <w:r>
        <w:rPr>
          <w:rFonts w:ascii="宋体" w:hAnsi="宋体"/>
          <w:color w:val="auto"/>
          <w:szCs w:val="16"/>
          <w:highlight w:val="none"/>
        </w:rPr>
        <w:t xml:space="preserve">若</w:t>
      </w:r>
      <w:r>
        <w:rPr>
          <w:rFonts w:hint="eastAsia" w:ascii="宋体" w:hAnsi="宋体"/>
          <w:color w:val="auto"/>
          <w:szCs w:val="16"/>
          <w:highlight w:val="none"/>
        </w:rPr>
        <w:t xml:space="preserve">响应文件</w:t>
      </w:r>
      <w:r>
        <w:rPr>
          <w:rFonts w:ascii="宋体" w:hAnsi="宋体"/>
          <w:color w:val="auto"/>
          <w:szCs w:val="16"/>
          <w:highlight w:val="none"/>
        </w:rPr>
        <w:t xml:space="preserve">中全部签字之处均为法定代表人（单位负责人）本人签署，则可不提供本《</w:t>
      </w:r>
      <w:r>
        <w:rPr>
          <w:rFonts w:hint="eastAsia" w:ascii="宋体" w:hAnsi="宋体"/>
          <w:color w:val="auto"/>
          <w:szCs w:val="16"/>
          <w:highlight w:val="none"/>
        </w:rPr>
        <w:t xml:space="preserve">授权委托书</w:t>
      </w:r>
      <w:r>
        <w:rPr>
          <w:rFonts w:ascii="宋体" w:hAnsi="宋体"/>
          <w:color w:val="auto"/>
          <w:szCs w:val="16"/>
          <w:highlight w:val="none"/>
        </w:rPr>
        <w:t xml:space="preserve">》，但须提供</w:t>
      </w:r>
      <w:r>
        <w:rPr>
          <w:rFonts w:hint="eastAsia" w:ascii="宋体" w:hAnsi="宋体"/>
          <w:color w:val="auto"/>
          <w:szCs w:val="16"/>
          <w:highlight w:val="none"/>
        </w:rPr>
        <w:t xml:space="preserve">《</w:t>
      </w:r>
      <w:r>
        <w:rPr>
          <w:rFonts w:ascii="宋体" w:hAnsi="宋体"/>
          <w:color w:val="auto"/>
          <w:szCs w:val="16"/>
          <w:highlight w:val="none"/>
        </w:rPr>
        <w:t xml:space="preserve">法定代表人（单位负责人）身份证</w:t>
      </w:r>
      <w:r>
        <w:rPr>
          <w:rFonts w:hint="eastAsia" w:ascii="宋体" w:hAnsi="宋体"/>
          <w:color w:val="auto"/>
          <w:szCs w:val="16"/>
          <w:highlight w:val="none"/>
        </w:rPr>
        <w:t xml:space="preserve">明》</w:t>
      </w:r>
      <w:r>
        <w:rPr>
          <w:rFonts w:ascii="宋体" w:hAnsi="宋体"/>
          <w:color w:val="auto"/>
          <w:szCs w:val="16"/>
          <w:highlight w:val="none"/>
        </w:rPr>
        <w:t xml:space="preserve">。</w:t>
      </w:r>
      <w:r>
        <w:rPr>
          <w:color w:val="auto"/>
          <w:highlight w:val="none"/>
        </w:rPr>
      </w:r>
    </w:p>
    <w:p>
      <w:pPr>
        <w:ind w:firstLine="480"/>
        <w:keepLines w:val="0"/>
        <w:keepNext w:val="0"/>
        <w:pageBreakBefore w:val="0"/>
        <w:spacing w:line="360" w:lineRule="auto"/>
        <w:tabs>
          <w:tab w:val="left" w:pos="5580" w:leader="none"/>
        </w:tabs>
        <w:rPr>
          <w:rFonts w:ascii="宋体" w:hAnsi="宋体"/>
          <w:color w:val="auto"/>
          <w:szCs w:val="16"/>
          <w:highlight w:val="none"/>
        </w:rPr>
      </w:pPr>
      <w:r>
        <w:rPr>
          <w:rFonts w:ascii="宋体" w:hAnsi="宋体"/>
          <w:color w:val="auto"/>
          <w:szCs w:val="16"/>
          <w:highlight w:val="none"/>
        </w:rPr>
        <w:t xml:space="preserve">3、</w:t>
      </w:r>
      <w:r>
        <w:rPr>
          <w:rFonts w:hint="eastAsia" w:ascii="宋体" w:hAnsi="宋体"/>
          <w:color w:val="auto"/>
          <w:szCs w:val="16"/>
          <w:highlight w:val="none"/>
        </w:rPr>
        <w:t xml:space="preserve">供应商为自然人的情形，可不提供本</w:t>
      </w:r>
      <w:r>
        <w:rPr>
          <w:rFonts w:ascii="宋体" w:hAnsi="宋体"/>
          <w:color w:val="auto"/>
          <w:szCs w:val="16"/>
          <w:highlight w:val="none"/>
        </w:rPr>
        <w:t xml:space="preserve">《</w:t>
      </w:r>
      <w:r>
        <w:rPr>
          <w:rFonts w:hint="eastAsia" w:ascii="宋体" w:hAnsi="宋体"/>
          <w:color w:val="auto"/>
          <w:szCs w:val="16"/>
          <w:highlight w:val="none"/>
        </w:rPr>
        <w:t xml:space="preserve">授权委托书</w:t>
      </w:r>
      <w:r>
        <w:rPr>
          <w:rFonts w:ascii="宋体" w:hAnsi="宋体"/>
          <w:color w:val="auto"/>
          <w:szCs w:val="16"/>
          <w:highlight w:val="none"/>
        </w:rPr>
        <w:t xml:space="preserve">》</w:t>
      </w:r>
      <w:r>
        <w:rPr>
          <w:rFonts w:hint="eastAsia" w:ascii="宋体" w:hAnsi="宋体"/>
          <w:color w:val="auto"/>
          <w:szCs w:val="16"/>
          <w:highlight w:val="none"/>
        </w:rPr>
        <w:t xml:space="preserve">。</w:t>
      </w:r>
      <w:bookmarkEnd w:id="290"/>
      <w:r>
        <w:rPr>
          <w:color w:val="auto"/>
        </w:rPr>
      </w:r>
      <w:bookmarkEnd w:id="291"/>
      <w:r>
        <w:rPr>
          <w:color w:val="auto"/>
        </w:rPr>
      </w:r>
      <w:r>
        <w:rPr>
          <w:color w:val="auto"/>
          <w:highlight w:val="none"/>
        </w:rP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color w:val="auto"/>
          <w:highlight w:val="none"/>
        </w:rPr>
      </w:r>
    </w:p>
    <w:p>
      <w:pPr>
        <w:jc w:val="center"/>
        <w:spacing w:line="4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br w:type="page" w:clear="all"/>
      </w:r>
      <w:r>
        <w:rPr>
          <w:rStyle w:val="766"/>
          <w:rFonts w:hint="eastAsia"/>
          <w:color w:val="auto"/>
          <w:highlight w:val="none"/>
          <w:lang w:val="en-US" w:eastAsia="zh-CN"/>
        </w:rPr>
        <w:t xml:space="preserve">8.1法定代表人身份证明</w:t>
      </w:r>
      <w:r>
        <w:rPr>
          <w:color w:val="auto"/>
          <w:highlight w:val="none"/>
        </w:rPr>
      </w:r>
    </w:p>
    <w:p>
      <w:pPr>
        <w:keepLines w:val="0"/>
        <w:keepNext w:val="0"/>
        <w:pageBreakBefore w:val="0"/>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hint="eastAsia"/>
          <w:color w:val="auto"/>
          <w:sz w:val="24"/>
          <w:highlight w:val="none"/>
        </w:rPr>
        <w:t xml:space="preserve">【采购单位】</w:t>
      </w:r>
      <w:r>
        <w:rPr>
          <w:color w:val="auto"/>
          <w:highlight w:val="none"/>
        </w:rPr>
      </w:r>
    </w:p>
    <w:p>
      <w:pPr>
        <w:ind w:firstLine="480"/>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hint="eastAsia" w:ascii="宋体" w:hAnsi="宋体"/>
          <w:color w:val="auto"/>
          <w:sz w:val="24"/>
          <w:highlight w:val="none"/>
        </w:rPr>
        <w:t xml:space="preserve">兹证明，</w:t>
      </w:r>
      <w:r>
        <w:rPr>
          <w:color w:val="auto"/>
          <w:highlight w:val="none"/>
        </w:rPr>
      </w:r>
    </w:p>
    <w:p>
      <w:pPr>
        <w:keepLines w:val="0"/>
        <w:keepNext w:val="0"/>
        <w:pageBreakBefore w:val="0"/>
        <w:spacing w:line="360" w:lineRule="auto"/>
        <w:tabs>
          <w:tab w:val="left" w:pos="567" w:leader="none"/>
          <w:tab w:val="left" w:pos="1690" w:leader="none"/>
          <w:tab w:val="left" w:pos="3400" w:leader="none"/>
          <w:tab w:val="left" w:pos="5110" w:leader="none"/>
          <w:tab w:val="left" w:pos="6821" w:leader="none"/>
        </w:tabs>
        <w:rPr>
          <w:rFonts w:ascii="宋体" w:hAnsi="宋体"/>
          <w:color w:val="auto"/>
          <w:sz w:val="24"/>
          <w:highlight w:val="none"/>
        </w:rPr>
      </w:pPr>
      <w:r>
        <w:rPr>
          <w:rFonts w:ascii="宋体" w:hAnsi="宋体"/>
          <w:color w:val="auto"/>
          <w:sz w:val="24"/>
          <w:highlight w:val="none"/>
        </w:rPr>
        <w:t xml:space="preserve">姓名</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ascii="宋体" w:hAnsi="宋体"/>
          <w:color w:val="auto"/>
          <w:sz w:val="24"/>
          <w:highlight w:val="none"/>
        </w:rPr>
        <w:t xml:space="preserve">性别：</w:t>
      </w:r>
      <w:r>
        <w:rPr>
          <w:rFonts w:hint="eastAsia" w:ascii="宋体" w:hAnsi="宋体"/>
          <w:color w:val="auto"/>
          <w:sz w:val="24"/>
          <w:highlight w:val="none"/>
          <w:u w:val="single"/>
        </w:rPr>
        <w:t xml:space="preserve">       </w:t>
      </w:r>
      <w:r>
        <w:rPr>
          <w:rFonts w:ascii="宋体" w:hAnsi="宋体"/>
          <w:color w:val="auto"/>
          <w:sz w:val="24"/>
          <w:highlight w:val="none"/>
        </w:rPr>
        <w:t xml:space="preserve">年龄：</w:t>
      </w:r>
      <w:r>
        <w:rPr>
          <w:rFonts w:hint="eastAsia" w:ascii="宋体" w:hAnsi="宋体"/>
          <w:color w:val="auto"/>
          <w:sz w:val="24"/>
          <w:highlight w:val="none"/>
          <w:u w:val="single"/>
        </w:rPr>
        <w:t xml:space="preserve">       </w:t>
      </w:r>
      <w:r>
        <w:rPr>
          <w:rFonts w:ascii="宋体" w:hAnsi="宋体"/>
          <w:color w:val="auto"/>
          <w:sz w:val="24"/>
          <w:highlight w:val="none"/>
        </w:rPr>
        <w:t xml:space="preserve">职务：</w:t>
      </w:r>
      <w:r>
        <w:rPr>
          <w:rFonts w:hint="eastAsia" w:ascii="宋体" w:hAnsi="宋体"/>
          <w:color w:val="auto"/>
          <w:sz w:val="24"/>
          <w:highlight w:val="none"/>
          <w:u w:val="single"/>
        </w:rPr>
        <w:t xml:space="preserve">       </w:t>
      </w:r>
      <w:r>
        <w:rPr>
          <w:color w:val="auto"/>
          <w:highlight w:val="none"/>
        </w:rP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rPr>
          <w:color w:val="auto"/>
          <w:highlight w:val="none"/>
        </w:rPr>
      </w:r>
    </w:p>
    <w:p>
      <w:pPr>
        <w:keepLines w:val="0"/>
        <w:keepNext w:val="0"/>
        <w:pageBreakBefore w:val="0"/>
        <w:spacing w:line="360" w:lineRule="auto"/>
        <w:tabs>
          <w:tab w:val="left" w:pos="2250"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t xml:space="preserve">系</w:t>
      </w:r>
      <w:r>
        <w:rPr>
          <w:rFonts w:ascii="宋体" w:hAnsi="宋体"/>
          <w:color w:val="auto"/>
          <w:sz w:val="24"/>
          <w:highlight w:val="none"/>
          <w:u w:val="single"/>
        </w:rPr>
        <w:tab/>
      </w:r>
      <w:r>
        <w:rPr>
          <w:rFonts w:ascii="宋体" w:hAnsi="宋体"/>
          <w:color w:val="auto"/>
          <w:sz w:val="24"/>
          <w:highlight w:val="none"/>
        </w:rPr>
        <w:t xml:space="preserve">（</w:t>
      </w:r>
      <w:r>
        <w:rPr>
          <w:rFonts w:hint="eastAsia" w:ascii="宋体" w:hAnsi="宋体"/>
          <w:color w:val="auto"/>
          <w:sz w:val="24"/>
          <w:highlight w:val="none"/>
        </w:rPr>
        <w:t xml:space="preserve">供应商</w:t>
      </w:r>
      <w:r>
        <w:rPr>
          <w:rFonts w:ascii="宋体" w:hAnsi="宋体"/>
          <w:color w:val="auto"/>
          <w:sz w:val="24"/>
          <w:highlight w:val="none"/>
        </w:rPr>
        <w:t xml:space="preserve">名称）的法定代表人（单位负责人）。</w:t>
      </w:r>
      <w:r>
        <w:rPr>
          <w:color w:val="auto"/>
          <w:highlight w:val="none"/>
        </w:rP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rPr>
          <w:color w:val="auto"/>
          <w:highlight w:val="none"/>
        </w:rP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ascii="宋体" w:hAnsi="宋体"/>
          <w:color w:val="auto"/>
          <w:sz w:val="24"/>
          <w:highlight w:val="none"/>
        </w:rPr>
      </w:pPr>
      <w:r>
        <w:rPr>
          <w:rFonts w:ascii="宋体" w:hAnsi="宋体"/>
          <w:color w:val="auto"/>
          <w:sz w:val="24"/>
          <w:highlight w:val="none"/>
        </w:rPr>
      </w:r>
      <w:r>
        <w:rPr>
          <w:color w:val="auto"/>
          <w:highlight w:val="none"/>
        </w:rPr>
      </w:r>
    </w:p>
    <w:p>
      <w:pPr>
        <w:ind w:right="-46"/>
        <w:keepLines w:val="0"/>
        <w:keepNext w:val="0"/>
        <w:pageBreakBefore w:val="0"/>
        <w:spacing w:line="360" w:lineRule="auto"/>
        <w:tabs>
          <w:tab w:val="left" w:pos="567" w:leader="none"/>
        </w:tabs>
        <w:rPr>
          <w:rFonts w:ascii="宋体" w:hAnsi="宋体"/>
          <w:color w:val="auto"/>
          <w:spacing w:val="-3"/>
          <w:sz w:val="24"/>
          <w:highlight w:val="none"/>
        </w:rPr>
      </w:pPr>
      <w:r>
        <w:rPr>
          <w:rFonts w:ascii="宋体" w:hAnsi="宋体"/>
          <w:color w:val="auto"/>
          <w:sz w:val="24"/>
          <w:highlight w:val="none"/>
        </w:rPr>
        <w:t xml:space="preserve">附：</w:t>
      </w:r>
      <w:r>
        <w:rPr>
          <w:rFonts w:ascii="宋体" w:hAnsi="宋体"/>
          <w:color w:val="auto"/>
          <w:spacing w:val="-3"/>
          <w:sz w:val="24"/>
          <w:highlight w:val="none"/>
        </w:rPr>
        <w:t xml:space="preserve">法</w:t>
      </w:r>
      <w:r>
        <w:rPr>
          <w:rFonts w:ascii="宋体" w:hAnsi="宋体"/>
          <w:color w:val="auto"/>
          <w:sz w:val="24"/>
          <w:highlight w:val="none"/>
        </w:rPr>
        <w:t xml:space="preserve">定</w:t>
      </w:r>
      <w:r>
        <w:rPr>
          <w:rFonts w:ascii="宋体" w:hAnsi="宋体"/>
          <w:color w:val="auto"/>
          <w:spacing w:val="-3"/>
          <w:sz w:val="24"/>
          <w:highlight w:val="none"/>
        </w:rPr>
        <w:t xml:space="preserve">代</w:t>
      </w:r>
      <w:r>
        <w:rPr>
          <w:rFonts w:ascii="宋体" w:hAnsi="宋体"/>
          <w:color w:val="auto"/>
          <w:sz w:val="24"/>
          <w:highlight w:val="none"/>
        </w:rPr>
        <w:t xml:space="preserve">表</w:t>
      </w:r>
      <w:r>
        <w:rPr>
          <w:rFonts w:ascii="宋体" w:hAnsi="宋体"/>
          <w:color w:val="auto"/>
          <w:spacing w:val="-3"/>
          <w:sz w:val="24"/>
          <w:highlight w:val="none"/>
        </w:rPr>
        <w:t xml:space="preserve">人</w:t>
      </w:r>
      <w:r>
        <w:rPr>
          <w:rFonts w:ascii="宋体" w:hAnsi="宋体"/>
          <w:color w:val="auto"/>
          <w:sz w:val="24"/>
          <w:highlight w:val="none"/>
        </w:rPr>
        <w:t xml:space="preserve">（</w:t>
      </w:r>
      <w:r>
        <w:rPr>
          <w:rFonts w:ascii="宋体" w:hAnsi="宋体"/>
          <w:color w:val="auto"/>
          <w:spacing w:val="-3"/>
          <w:sz w:val="24"/>
          <w:highlight w:val="none"/>
        </w:rPr>
        <w:t xml:space="preserve">单</w:t>
      </w:r>
      <w:r>
        <w:rPr>
          <w:rFonts w:ascii="宋体" w:hAnsi="宋体"/>
          <w:color w:val="auto"/>
          <w:sz w:val="24"/>
          <w:highlight w:val="none"/>
        </w:rPr>
        <w:t xml:space="preserve">位</w:t>
      </w:r>
      <w:r>
        <w:rPr>
          <w:rFonts w:ascii="宋体" w:hAnsi="宋体"/>
          <w:color w:val="auto"/>
          <w:spacing w:val="-3"/>
          <w:sz w:val="24"/>
          <w:highlight w:val="none"/>
        </w:rPr>
        <w:t xml:space="preserve">负</w:t>
      </w:r>
      <w:r>
        <w:rPr>
          <w:rFonts w:ascii="宋体" w:hAnsi="宋体"/>
          <w:color w:val="auto"/>
          <w:sz w:val="24"/>
          <w:highlight w:val="none"/>
        </w:rPr>
        <w:t xml:space="preserve">责人</w:t>
      </w:r>
      <w:r>
        <w:rPr>
          <w:rFonts w:ascii="宋体" w:hAnsi="宋体"/>
          <w:color w:val="auto"/>
          <w:spacing w:val="-3"/>
          <w:sz w:val="24"/>
          <w:highlight w:val="none"/>
        </w:rPr>
        <w:t xml:space="preserve">）有效期内的身</w:t>
      </w:r>
      <w:r>
        <w:rPr>
          <w:rFonts w:hint="eastAsia" w:ascii="宋体" w:hAnsi="宋体"/>
          <w:color w:val="auto"/>
          <w:spacing w:val="-3"/>
          <w:sz w:val="24"/>
          <w:highlight w:val="none"/>
        </w:rPr>
        <w:t xml:space="preserve">份</w:t>
      </w:r>
      <w:r>
        <w:rPr>
          <w:rFonts w:ascii="宋体" w:hAnsi="宋体"/>
          <w:color w:val="auto"/>
          <w:spacing w:val="-3"/>
          <w:sz w:val="24"/>
          <w:highlight w:val="none"/>
        </w:rPr>
        <w:t xml:space="preserve">证正反面</w:t>
      </w:r>
      <w:r>
        <w:rPr>
          <w:rFonts w:hint="eastAsia" w:ascii="宋体" w:hAnsi="宋体"/>
          <w:color w:val="auto"/>
          <w:spacing w:val="-3"/>
          <w:sz w:val="24"/>
          <w:highlight w:val="none"/>
        </w:rPr>
        <w:t xml:space="preserve">电子</w:t>
      </w:r>
      <w:r>
        <w:rPr>
          <w:rFonts w:ascii="宋体" w:hAnsi="宋体"/>
          <w:color w:val="auto"/>
          <w:spacing w:val="-3"/>
          <w:sz w:val="24"/>
          <w:highlight w:val="none"/>
        </w:rPr>
        <w:t xml:space="preserve">件</w:t>
      </w:r>
      <w:r>
        <w:rPr>
          <w:rFonts w:hint="eastAsia" w:ascii="宋体" w:hAnsi="宋体"/>
          <w:color w:val="auto"/>
          <w:spacing w:val="-3"/>
          <w:sz w:val="24"/>
          <w:highlight w:val="none"/>
        </w:rPr>
        <w:t xml:space="preserve">。</w:t>
      </w:r>
      <w:r>
        <w:rPr>
          <w:color w:val="auto"/>
          <w:highlight w:val="none"/>
        </w:rPr>
      </w:r>
    </w:p>
    <w:tbl>
      <w:tblPr>
        <w:tblStyle w:val="7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tc>
        <w:tc>
          <w:tcPr>
            <w:tcW w:w="4536" w:type="dxa"/>
            <w:vAlign w:val="top"/>
            <w:textDirection w:val="lrTb"/>
            <w:noWrap w:val="false"/>
          </w:tcPr>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p>
            <w:pPr>
              <w:jc w:val="left"/>
              <w:keepLines w:val="0"/>
              <w:keepNext w:val="0"/>
              <w:pageBreakBefore w:val="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rPr>
                <w:color w:val="auto"/>
                <w:highlight w:val="none"/>
              </w:rPr>
            </w:r>
          </w:p>
        </w:tc>
      </w:tr>
    </w:tbl>
    <w:p>
      <w:pPr>
        <w:ind w:right="4305"/>
        <w:keepLines w:val="0"/>
        <w:keepNext w:val="0"/>
        <w:pageBreakBefore w:val="0"/>
        <w:spacing w:line="360" w:lineRule="auto"/>
        <w:tabs>
          <w:tab w:val="left" w:pos="567" w:leader="none"/>
        </w:tabs>
        <w:rPr>
          <w:rFonts w:ascii="宋体" w:hAnsi="宋体"/>
          <w:color w:val="auto"/>
          <w:spacing w:val="-3"/>
          <w:sz w:val="24"/>
          <w:highlight w:val="none"/>
        </w:rPr>
      </w:pPr>
      <w:r>
        <w:rPr>
          <w:rFonts w:ascii="宋体" w:hAnsi="宋体"/>
          <w:color w:val="auto"/>
          <w:spacing w:val="-3"/>
          <w:sz w:val="24"/>
          <w:highlight w:val="none"/>
        </w:rPr>
      </w:r>
      <w:r>
        <w:rPr>
          <w:color w:val="auto"/>
          <w:highlight w:val="none"/>
        </w:rPr>
      </w:r>
    </w:p>
    <w:p>
      <w:pPr>
        <w:pStyle w:val="951"/>
        <w:ind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单位名称：</w:t>
      </w:r>
      <w:r>
        <w:rPr>
          <w:rFonts w:ascii="Times New Roman" w:hAnsi="Times New Roman" w:cs="Times New Roman"/>
          <w:color w:val="auto"/>
          <w:sz w:val="24"/>
          <w:szCs w:val="24"/>
          <w:highlight w:val="none"/>
          <w:u w:val="single"/>
        </w:rPr>
        <w:t xml:space="preserve">（加盖CA电子公章）</w:t>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tabs>
          <w:tab w:val="left" w:pos="360" w:leader="none"/>
        </w:tabs>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单位地址：</w:t>
      </w:r>
      <w:r>
        <w:rPr>
          <w:rFonts w:ascii="Times New Roman" w:hAnsi="Times New Roman" w:cs="Times New Roman"/>
          <w:color w:val="auto"/>
          <w:sz w:val="24"/>
          <w:szCs w:val="24"/>
          <w:highlight w:val="none"/>
          <w:u w:val="single"/>
        </w:rPr>
        <w:t xml:space="preserve">                                         </w:t>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rPr>
        <w:t xml:space="preserve">日期：</w:t>
      </w:r>
      <w:r>
        <w:rPr>
          <w:rFonts w:ascii="Times New Roman" w:hAnsi="Times New Roman" w:cs="Times New Roman"/>
          <w:color w:val="auto"/>
          <w:sz w:val="24"/>
          <w:szCs w:val="24"/>
          <w:highlight w:val="none"/>
          <w:u w:val="single"/>
        </w:rPr>
        <w:t xml:space="preserve">                                       </w:t>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tabs>
          <w:tab w:val="left" w:pos="360" w:leader="none"/>
        </w:tabs>
        <w:rPr>
          <w:rFonts w:ascii="Times New Roman" w:hAnsi="Times New Roman" w:cs="Times New Roman"/>
          <w:color w:val="auto"/>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auto"/>
          <w:sz w:val="24"/>
          <w:szCs w:val="24"/>
          <w:highlight w:val="none"/>
          <w:u w:val="single"/>
        </w:rPr>
      </w:r>
      <w:r>
        <w:rPr>
          <w:color w:val="auto"/>
          <w:highlight w:val="none"/>
        </w:rPr>
      </w:r>
    </w:p>
    <w:p>
      <w:pPr>
        <w:pStyle w:val="951"/>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说明：</w:t>
      </w:r>
      <w:r>
        <w:rPr>
          <w:color w:val="auto"/>
          <w:highlight w:val="none"/>
        </w:rPr>
      </w:r>
    </w:p>
    <w:p>
      <w:pPr>
        <w:pStyle w:val="93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1．委托书内容填写应当明确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文字工整清楚，涂改无效。</w:t>
      </w:r>
      <w:r>
        <w:rPr>
          <w:color w:val="auto"/>
          <w:highlight w:val="none"/>
        </w:rPr>
      </w:r>
    </w:p>
    <w:p>
      <w:pPr>
        <w:pStyle w:val="93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2．委托书不得转借、转让、买卖。</w:t>
      </w:r>
      <w:r>
        <w:rPr>
          <w:color w:val="auto"/>
          <w:highlight w:val="none"/>
        </w:rPr>
      </w:r>
    </w:p>
    <w:p>
      <w:pPr>
        <w:pStyle w:val="931"/>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3．委托代理人根据授权范围，以委托单位的名义签订合同，并将此委托书提交给采购单位作为合同附件。</w:t>
      </w:r>
      <w:r>
        <w:rPr>
          <w:color w:val="auto"/>
          <w:highlight w:val="none"/>
        </w:rPr>
      </w:r>
    </w:p>
    <w:p>
      <w:pPr>
        <w:pStyle w:val="1011"/>
        <w:jc w:val="both"/>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rPr>
          <w:color w:val="auto"/>
          <w:highlight w:val="none"/>
        </w:rPr>
      </w:r>
    </w:p>
    <w:p>
      <w:pPr>
        <w:pStyle w:val="1011"/>
        <w:jc w:val="both"/>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rPr>
          <w:color w:val="auto"/>
          <w:highlight w:val="none"/>
        </w:rPr>
      </w:r>
    </w:p>
    <w:p>
      <w:pPr>
        <w:pStyle w:val="1011"/>
        <w:jc w:val="both"/>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rPr>
          <w:color w:val="auto"/>
          <w:highlight w:val="none"/>
        </w:rPr>
      </w:r>
    </w:p>
    <w:p>
      <w:pPr>
        <w:jc w:val="left"/>
        <w:keepLines w:val="0"/>
        <w:keepNext w:val="0"/>
        <w:pageBreakBefore w:val="0"/>
        <w:spacing w:line="360" w:lineRule="auto"/>
        <w:widowControl/>
        <w:rPr>
          <w:color w:val="auto"/>
          <w:highlight w:val="none"/>
        </w:rPr>
        <w:suppressLineNumbers w:val="0"/>
      </w:pPr>
      <w:r>
        <w:rPr>
          <w:rFonts w:hint="eastAsia" w:ascii="宋体" w:hAnsi="宋体" w:eastAsia="宋体" w:cs="宋体"/>
          <w:b/>
          <w:bCs w:val="0"/>
          <w:color w:val="auto"/>
          <w:sz w:val="32"/>
          <w:szCs w:val="32"/>
          <w:highlight w:val="none"/>
          <w:lang w:eastAsia="zh-CN"/>
        </w:rPr>
        <w:br w:type="page" w:clear="all"/>
      </w:r>
      <w:r>
        <w:rPr>
          <w:color w:val="auto"/>
          <w:highlight w:val="none"/>
        </w:rPr>
      </w:r>
    </w:p>
    <w:p>
      <w:pPr>
        <w:pStyle w:val="712"/>
        <w:jc w:val="center"/>
        <w:rPr>
          <w:rFonts w:hint="eastAsia"/>
          <w:color w:val="auto"/>
          <w:highlight w:val="none"/>
        </w:rPr>
      </w:pPr>
      <w:r>
        <w:rPr>
          <w:rFonts w:hint="eastAsia"/>
          <w:color w:val="auto"/>
          <w:highlight w:val="none"/>
          <w:lang w:val="en-US" w:eastAsia="zh-CN"/>
        </w:rPr>
        <w:t xml:space="preserve">9.</w:t>
      </w:r>
      <w:r>
        <w:rPr>
          <w:rFonts w:hint="eastAsia"/>
          <w:color w:val="auto"/>
          <w:highlight w:val="none"/>
        </w:rPr>
        <w:t xml:space="preserve">企业资质动态监管核查承诺书</w:t>
      </w:r>
      <w:r>
        <w:rPr>
          <w:color w:val="auto"/>
          <w:highlight w:val="none"/>
        </w:rPr>
      </w:r>
    </w:p>
    <w:p>
      <w:pPr>
        <w:ind w:firstLine="0"/>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采购</w:t>
      </w:r>
      <w:r>
        <w:rPr>
          <w:rFonts w:hint="eastAsia" w:ascii="宋体" w:hAnsi="宋体" w:eastAsia="宋体" w:cs="宋体"/>
          <w:color w:val="auto"/>
          <w:sz w:val="24"/>
          <w:szCs w:val="24"/>
          <w:highlight w:val="none"/>
          <w:u w:val="single"/>
          <w:lang w:val="en-US" w:eastAsia="zh-CN"/>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我公司参与贵单位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项目的磋商，我公司郑重承诺：</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1、我公司在磋商期间企业资质动态监管核查结果为合格。</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2、我公司在磋商响应有效期内企业资质动态监管核查为合格；若磋商响应有效期内企业资质动态监管核查不合格，将主动放弃成交资格。</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3、我公司承诺的均是真实、有效的。</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综上，我公司承诺如有弄虚作假，违反规定参加磋商，将按有关法律法规和文件规定被取消磋商、成交资格，记录不良信用。一切损失由我公司自行承担，同时愿意接受相关处罚。</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p>
    <w:p>
      <w:pPr>
        <w:numPr>
          <w:ilvl w:val="0"/>
          <w:numId w:val="0"/>
        </w:numPr>
        <w:jc w:val="both"/>
        <w:rPr>
          <w:rFonts w:hint="eastAsia" w:ascii="宋体" w:hAnsi="宋体" w:eastAsia="宋体" w:cs="宋体"/>
          <w:b/>
          <w:bCs/>
          <w:color w:val="auto"/>
          <w:szCs w:val="21"/>
          <w:highlight w:val="none"/>
        </w:rPr>
        <w:outlineLvl w:val="0"/>
      </w:pPr>
      <w:r>
        <w:rPr>
          <w:rFonts w:hint="eastAsia" w:ascii="宋体" w:hAnsi="宋体" w:eastAsia="宋体" w:cs="宋体"/>
          <w:b/>
          <w:bCs/>
          <w:color w:val="auto"/>
          <w:szCs w:val="21"/>
          <w:highlight w:val="none"/>
        </w:rPr>
        <w:br w:type="page" w:clear="all"/>
      </w:r>
      <w:bookmarkStart w:id="292" w:name="_Toc30442"/>
      <w:r>
        <w:rPr>
          <w:color w:val="auto"/>
          <w:highlight w:val="none"/>
        </w:rPr>
      </w:r>
      <w:bookmarkStart w:id="293" w:name="_Toc14847"/>
      <w:r>
        <w:rPr>
          <w:color w:val="auto"/>
          <w:highlight w:val="none"/>
        </w:rPr>
      </w:r>
      <w:bookmarkStart w:id="294" w:name="_Toc2279"/>
      <w:r>
        <w:rPr>
          <w:color w:val="auto"/>
          <w:highlight w:val="none"/>
        </w:rPr>
      </w:r>
      <w:r>
        <w:rPr>
          <w:color w:val="auto"/>
          <w:highlight w:val="none"/>
        </w:rPr>
      </w:r>
    </w:p>
    <w:p>
      <w:pPr>
        <w:pStyle w:val="712"/>
        <w:jc w:val="center"/>
        <w:rPr>
          <w:color w:val="auto"/>
          <w:highlight w:val="none"/>
        </w:rPr>
      </w:pPr>
      <w:r>
        <w:rPr>
          <w:rFonts w:hint="eastAsia"/>
          <w:color w:val="auto"/>
          <w:highlight w:val="none"/>
          <w:lang w:val="en-US" w:eastAsia="zh-CN"/>
        </w:rPr>
        <w:t xml:space="preserve">10.</w:t>
      </w:r>
      <w:r>
        <w:rPr>
          <w:rFonts w:hint="eastAsia"/>
          <w:color w:val="auto"/>
          <w:highlight w:val="none"/>
        </w:rPr>
        <w:t xml:space="preserve">供应商承诺书</w:t>
      </w:r>
      <w:r>
        <w:rPr>
          <w:rFonts w:hint="eastAsia" w:eastAsia="宋体"/>
          <w:color w:val="auto"/>
          <w:highlight w:val="none"/>
          <w:lang w:eastAsia="zh-CN"/>
        </w:rPr>
        <w:t xml:space="preserve">（</w:t>
      </w:r>
      <w:r>
        <w:rPr>
          <w:rFonts w:hint="eastAsia"/>
          <w:color w:val="auto"/>
          <w:highlight w:val="none"/>
        </w:rPr>
        <w:t xml:space="preserve">格式</w:t>
      </w:r>
      <w:r>
        <w:rPr>
          <w:rFonts w:hint="eastAsia" w:eastAsia="宋体"/>
          <w:color w:val="auto"/>
          <w:highlight w:val="none"/>
          <w:lang w:eastAsia="zh-CN"/>
        </w:rPr>
        <w:t xml:space="preserve">）</w:t>
      </w:r>
      <w:r>
        <w:rPr>
          <w:color w:val="auto"/>
          <w:highlight w:val="none"/>
        </w:rPr>
      </w:r>
    </w:p>
    <w:p>
      <w:pPr>
        <w:ind w:firstLine="480"/>
        <w:jc w:val="left"/>
        <w:spacing w:line="460" w:lineRule="exact"/>
        <w:widowControl/>
        <w:rPr>
          <w:rFonts w:ascii="宋体" w:hAnsi="宋体" w:eastAsia="宋体" w:cs="宋体"/>
          <w:color w:val="auto"/>
          <w:sz w:val="24"/>
          <w:highlight w:val="none"/>
          <w:u w:val="single"/>
        </w:rPr>
      </w:pPr>
      <w:r>
        <w:rPr>
          <w:rFonts w:hint="eastAsia" w:ascii="宋体" w:hAnsi="宋体" w:eastAsia="宋体" w:cs="宋体"/>
          <w:color w:val="auto"/>
          <w:sz w:val="24"/>
          <w:highlight w:val="none"/>
          <w:lang w:bidi="ar"/>
        </w:rPr>
        <w:t xml:space="preserve">致： </w:t>
      </w:r>
      <w:r>
        <w:rPr>
          <w:rFonts w:hint="eastAsia" w:ascii="宋体" w:hAnsi="宋体" w:eastAsia="宋体" w:cs="宋体"/>
          <w:color w:val="auto"/>
          <w:sz w:val="24"/>
          <w:highlight w:val="none"/>
          <w:u w:val="single"/>
        </w:rPr>
        <w:t xml:space="preserve">采购人名称</w:t>
      </w:r>
      <w:r>
        <w:rPr>
          <w:rFonts w:hint="eastAsia" w:ascii="宋体" w:hAnsi="宋体" w:eastAsia="宋体" w:cs="宋体"/>
          <w:color w:val="auto"/>
          <w:sz w:val="24"/>
          <w:highlight w:val="none"/>
          <w:u w:val="single"/>
          <w:lang w:bidi="ar"/>
        </w:rPr>
        <w:t xml:space="preserve">   </w:t>
      </w:r>
      <w:r>
        <w:rPr>
          <w:color w:val="auto"/>
          <w:highlight w:val="none"/>
        </w:rP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工程项目的磋商，我单位郑重承诺： </w:t>
      </w:r>
      <w:r>
        <w:rPr>
          <w:color w:val="auto"/>
          <w:highlight w:val="none"/>
        </w:rP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（姓名）同志在该项目磋商期间确无在建工程</w:t>
      </w:r>
      <w:r>
        <w:rPr>
          <w:rFonts w:hint="eastAsia" w:ascii="宋体" w:hAnsi="宋体" w:eastAsia="宋体" w:cs="宋体"/>
          <w:color w:val="auto"/>
          <w:sz w:val="24"/>
          <w:highlight w:val="none"/>
        </w:rPr>
        <w:t xml:space="preserve">； </w:t>
      </w:r>
      <w:r>
        <w:rPr>
          <w:color w:val="auto"/>
          <w:highlight w:val="none"/>
        </w:rPr>
      </w:r>
    </w:p>
    <w:p>
      <w:pPr>
        <w:ind w:firstLine="480"/>
        <w:spacing w:line="460" w:lineRule="exact"/>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
        </w:rPr>
        <w:t xml:space="preserve">法定代表人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 同志、拟派项目负责人</w:t>
      </w:r>
      <w:r>
        <w:rPr>
          <w:rFonts w:hint="eastAsia" w:ascii="宋体" w:hAnsi="宋体" w:eastAsia="宋体" w:cs="宋体"/>
          <w:color w:val="auto"/>
          <w:sz w:val="24"/>
          <w:szCs w:val="24"/>
          <w:highlight w:val="none"/>
          <w:u w:val="single"/>
          <w:lang w:val="en-US" w:eastAsia="zh-CN" w:bidi="ar"/>
        </w:rPr>
        <w:t xml:space="preserve">  （姓名）  </w:t>
      </w:r>
      <w:r>
        <w:rPr>
          <w:rFonts w:hint="eastAsia" w:ascii="宋体" w:hAnsi="宋体" w:eastAsia="宋体" w:cs="宋体"/>
          <w:color w:val="auto"/>
          <w:sz w:val="24"/>
          <w:szCs w:val="24"/>
          <w:highlight w:val="none"/>
          <w:lang w:val="en-US" w:eastAsia="zh-CN" w:bidi="ar"/>
        </w:rPr>
        <w:t xml:space="preserve">同志及本单位近 3 年以来无建筑市场不良行为</w:t>
      </w:r>
      <w:r>
        <w:rPr>
          <w:rFonts w:hint="eastAsia" w:ascii="宋体" w:hAnsi="宋体" w:eastAsia="宋体" w:cs="宋体"/>
          <w:color w:val="auto"/>
          <w:sz w:val="24"/>
          <w:highlight w:val="none"/>
        </w:rPr>
        <w:t xml:space="preserve">；</w:t>
      </w:r>
      <w:r>
        <w:rPr>
          <w:color w:val="auto"/>
          <w:highlight w:val="none"/>
        </w:rPr>
      </w:r>
    </w:p>
    <w:p>
      <w:pPr>
        <w:ind w:firstLine="480"/>
        <w:spacing w:line="460" w:lineRule="exact"/>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同志中标后不影响办理工程建设手续且能在岗履职； </w:t>
      </w:r>
      <w:r>
        <w:rPr>
          <w:color w:val="auto"/>
          <w:highlight w:val="none"/>
        </w:rPr>
      </w:r>
    </w:p>
    <w:p>
      <w:pPr>
        <w:ind w:firstLine="480"/>
        <w:spacing w:line="460" w:lineRule="exact"/>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
        </w:rPr>
        <w:t xml:space="preserve">我公司（超过 3 年）</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同志和法定代表人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同志近</w:t>
      </w:r>
      <w:r>
        <w:rPr>
          <w:rFonts w:hint="eastAsia" w:ascii="宋体" w:hAnsi="宋体" w:eastAsia="宋体" w:cs="宋体"/>
          <w:color w:val="auto"/>
          <w:sz w:val="24"/>
          <w:highlight w:val="none"/>
          <w:u w:val="single"/>
        </w:rPr>
        <w:t xml:space="preserve"> 5 </w:t>
      </w:r>
      <w:r>
        <w:rPr>
          <w:rFonts w:hint="eastAsia" w:ascii="宋体" w:hAnsi="宋体" w:eastAsia="宋体" w:cs="宋体"/>
          <w:color w:val="auto"/>
          <w:sz w:val="24"/>
          <w:highlight w:val="none"/>
        </w:rPr>
        <w:t xml:space="preserve">年以来及本单位近</w:t>
      </w:r>
      <w:r>
        <w:rPr>
          <w:rFonts w:hint="eastAsia" w:ascii="宋体" w:hAnsi="宋体" w:eastAsia="宋体" w:cs="宋体"/>
          <w:color w:val="auto"/>
          <w:sz w:val="24"/>
          <w:highlight w:val="none"/>
          <w:u w:val="single"/>
        </w:rPr>
        <w:t xml:space="preserve"> 3 </w:t>
      </w:r>
      <w:r>
        <w:rPr>
          <w:rFonts w:hint="eastAsia" w:ascii="宋体" w:hAnsi="宋体" w:eastAsia="宋体" w:cs="宋体"/>
          <w:color w:val="auto"/>
          <w:sz w:val="24"/>
          <w:highlight w:val="none"/>
        </w:rPr>
        <w:t xml:space="preserve">年以来无行贿犯罪记录；</w:t>
      </w:r>
      <w:r>
        <w:rPr>
          <w:color w:val="auto"/>
          <w:highlight w:val="none"/>
        </w:rPr>
      </w:r>
    </w:p>
    <w:p>
      <w:pPr>
        <w:ind w:firstLine="480"/>
        <w:spacing w:line="460" w:lineRule="exact"/>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、我单位不存在借牌挂靠行为，不出借挂靠资质；</w:t>
      </w:r>
      <w:r>
        <w:rPr>
          <w:color w:val="auto"/>
          <w:highlight w:val="none"/>
        </w:rP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我单位在本项目上不是以联合体身份参加竞争性磋商</w:t>
      </w:r>
      <w:r>
        <w:rPr>
          <w:color w:val="auto"/>
          <w:highlight w:val="none"/>
        </w:rPr>
      </w:r>
    </w:p>
    <w:p>
      <w:pPr>
        <w:ind w:firstLine="48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color w:val="auto"/>
          <w:sz w:val="24"/>
          <w:szCs w:val="24"/>
          <w:highlight w:val="none"/>
          <w:lang w:eastAsia="zh-CN"/>
        </w:rPr>
        <w:t xml:space="preserve">单位负责人为同一人或者存在直接控股、管理关系的不同供应商，不得参加同一合同项下的政府采购活动</w:t>
      </w:r>
      <w:r>
        <w:rPr>
          <w:rFonts w:hint="eastAsia" w:ascii="宋体" w:hAnsi="宋体" w:eastAsia="宋体" w:cs="宋体"/>
          <w:color w:val="auto"/>
          <w:sz w:val="24"/>
          <w:highlight w:val="none"/>
        </w:rPr>
        <w:t xml:space="preserve">；</w:t>
      </w:r>
      <w:r>
        <w:rPr>
          <w:color w:val="auto"/>
          <w:highlight w:val="none"/>
        </w:rPr>
      </w:r>
    </w:p>
    <w:p>
      <w:pPr>
        <w:ind w:firstLine="480"/>
        <w:spacing w:line="460" w:lineRule="exact"/>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、本项目我单位中标后不分包或转包；</w:t>
      </w:r>
      <w:r>
        <w:rPr>
          <w:color w:val="auto"/>
          <w:highlight w:val="none"/>
        </w:rPr>
      </w:r>
    </w:p>
    <w:p>
      <w:pPr>
        <w:ind w:firstLine="480"/>
        <w:spacing w:line="460" w:lineRule="exact"/>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、未在“信用中国”和“中国政府采购网”被列为失信被执行人。</w:t>
      </w:r>
      <w:r>
        <w:rPr>
          <w:color w:val="auto"/>
          <w:highlight w:val="none"/>
        </w:rPr>
      </w:r>
    </w:p>
    <w:p>
      <w:pPr>
        <w:ind w:firstLine="480"/>
        <w:spacing w:line="460" w:lineRule="exact"/>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、磋商全过程（含异议、投诉环节）出示的证明文件资料均是真实、有效的；</w:t>
      </w:r>
      <w:r>
        <w:rPr>
          <w:color w:val="auto"/>
          <w:highlight w:val="none"/>
        </w:rPr>
      </w:r>
    </w:p>
    <w:p>
      <w:pPr>
        <w:ind w:firstLine="480"/>
        <w:spacing w:line="460" w:lineRule="exact"/>
        <w:rPr>
          <w:rFonts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或监管部门的质询，否则，异议或投诉不成立；</w:t>
      </w:r>
      <w:r>
        <w:rPr>
          <w:color w:val="auto"/>
          <w:highlight w:val="none"/>
        </w:rP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综上，</w:t>
      </w:r>
      <w:r>
        <w:rPr>
          <w:rFonts w:hint="eastAsia" w:ascii="宋体" w:hAnsi="宋体" w:eastAsia="宋体" w:cs="宋体"/>
          <w:color w:val="auto"/>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rPr>
          <w:color w:val="auto"/>
          <w:highlight w:val="none"/>
        </w:rP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磋商供应商：</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rPr>
          <w:rFonts w:hint="eastAsia" w:ascii="宋体" w:hAnsi="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盖章</w:t>
      </w:r>
      <w:r>
        <w:rPr>
          <w:rFonts w:hint="eastAsia" w:ascii="宋体" w:hAnsi="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 </w:t>
      </w:r>
      <w:r>
        <w:rPr>
          <w:color w:val="auto"/>
          <w:highlight w:val="none"/>
        </w:rP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法定代表人：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rPr>
          <w:rFonts w:hint="eastAsia" w:ascii="宋体" w:hAnsi="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签字或盖章</w:t>
      </w:r>
      <w:r>
        <w:rPr>
          <w:rFonts w:hint="eastAsia" w:ascii="宋体" w:hAnsi="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 </w:t>
      </w:r>
      <w:r>
        <w:rPr>
          <w:color w:val="auto"/>
          <w:highlight w:val="none"/>
        </w:rP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rPr>
          <w:rFonts w:hint="eastAsia" w:ascii="宋体" w:hAnsi="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签字</w:t>
      </w:r>
      <w:r>
        <w:rPr>
          <w:rFonts w:hint="eastAsia" w:ascii="宋体" w:hAnsi="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 </w:t>
      </w:r>
      <w:r>
        <w:rPr>
          <w:color w:val="auto"/>
          <w:highlight w:val="none"/>
        </w:rP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项目负责人证书编号：</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 </w:t>
      </w:r>
      <w:r>
        <w:rPr>
          <w:color w:val="auto"/>
          <w:highlight w:val="none"/>
        </w:rPr>
      </w:r>
    </w:p>
    <w:p>
      <w:pPr>
        <w:ind w:firstLine="480"/>
        <w:jc w:val="left"/>
        <w:spacing w:line="4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日期：</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月</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日</w:t>
      </w:r>
      <w:r>
        <w:rPr>
          <w:color w:val="auto"/>
          <w:highlight w:val="none"/>
        </w:rP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br w:type="page" w:clear="all"/>
      </w:r>
      <w:bookmarkEnd w:id="292"/>
      <w:r>
        <w:rPr>
          <w:color w:val="auto"/>
        </w:rPr>
      </w:r>
      <w:bookmarkEnd w:id="293"/>
      <w:r>
        <w:rPr>
          <w:color w:val="auto"/>
        </w:rPr>
      </w:r>
      <w:bookmarkEnd w:id="294"/>
      <w:r>
        <w:rPr>
          <w:color w:val="auto"/>
        </w:rPr>
      </w:r>
      <w:r>
        <w:rPr>
          <w:color w:val="auto"/>
          <w:highlight w:val="none"/>
        </w:rPr>
      </w:r>
    </w:p>
    <w:p>
      <w:pPr>
        <w:pStyle w:val="712"/>
        <w:rPr>
          <w:color w:val="auto"/>
          <w:highlight w:val="none"/>
        </w:rPr>
      </w:pPr>
      <w:r>
        <w:rPr>
          <w:rFonts w:hint="eastAsia"/>
          <w:color w:val="auto"/>
          <w:highlight w:val="none"/>
          <w:lang w:val="en-US" w:eastAsia="zh-CN"/>
        </w:rPr>
        <w:t xml:space="preserve">11.</w:t>
      </w:r>
      <w:r>
        <w:rPr>
          <w:rFonts w:hint="eastAsia"/>
          <w:color w:val="auto"/>
          <w:highlight w:val="none"/>
        </w:rPr>
        <w:t xml:space="preserve">商务要求响应及偏离表</w:t>
      </w:r>
      <w:r>
        <w:rPr>
          <w:color w:val="auto"/>
          <w:highlight w:val="none"/>
        </w:rPr>
      </w:r>
    </w:p>
    <w:tbl>
      <w:tblPr>
        <w:tblStyle w:val="7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ind w:left="0" w:firstLine="0"/>
              <w:jc w:val="both"/>
              <w:pageBreakBefore w:val="0"/>
              <w:rPr>
                <w:rFonts w:ascii="宋体" w:hAnsi="宋体"/>
                <w:color w:val="auto"/>
                <w:sz w:val="24"/>
                <w:szCs w:val="24"/>
                <w:highlight w:val="none"/>
              </w:rPr>
            </w:pPr>
            <w:r>
              <w:rPr>
                <w:color w:val="auto"/>
                <w:highlight w:val="none"/>
              </w:rPr>
            </w:r>
            <w:bookmarkStart w:id="295" w:name="_Hlt26671343"/>
            <w:r>
              <w:rPr>
                <w:color w:val="auto"/>
                <w:highlight w:val="none"/>
              </w:rPr>
            </w:r>
            <w:bookmarkEnd w:id="295"/>
            <w:r>
              <w:rPr>
                <w:color w:val="auto"/>
                <w:highlight w:val="none"/>
              </w:rPr>
            </w:r>
            <w:bookmarkStart w:id="296" w:name="_Hlt26955056"/>
            <w:r>
              <w:rPr>
                <w:color w:val="auto"/>
                <w:highlight w:val="none"/>
              </w:rPr>
            </w:r>
            <w:bookmarkEnd w:id="296"/>
            <w:r>
              <w:rPr>
                <w:color w:val="auto"/>
                <w:highlight w:val="none"/>
              </w:rPr>
            </w:r>
            <w:bookmarkStart w:id="297" w:name="_Hlt26580838"/>
            <w:r>
              <w:rPr>
                <w:color w:val="auto"/>
                <w:highlight w:val="none"/>
              </w:rPr>
            </w:r>
            <w:bookmarkEnd w:id="297"/>
            <w:r>
              <w:rPr>
                <w:color w:val="auto"/>
                <w:highlight w:val="none"/>
              </w:rPr>
            </w:r>
            <w:bookmarkStart w:id="298" w:name="_Hlt26782999"/>
            <w:r>
              <w:rPr>
                <w:color w:val="auto"/>
                <w:highlight w:val="none"/>
              </w:rPr>
            </w:r>
            <w:bookmarkEnd w:id="298"/>
            <w:r>
              <w:rPr>
                <w:color w:val="auto"/>
                <w:highlight w:val="none"/>
              </w:rPr>
            </w:r>
            <w:bookmarkStart w:id="299" w:name="_Hlt26955064"/>
            <w:r>
              <w:rPr>
                <w:color w:val="auto"/>
                <w:highlight w:val="none"/>
              </w:rPr>
            </w:r>
            <w:bookmarkEnd w:id="299"/>
            <w:r>
              <w:rPr>
                <w:color w:val="auto"/>
                <w:highlight w:val="none"/>
              </w:rPr>
            </w:r>
            <w:bookmarkStart w:id="300" w:name="_Hlt24879081"/>
            <w:r>
              <w:rPr>
                <w:color w:val="auto"/>
                <w:highlight w:val="none"/>
              </w:rPr>
            </w:r>
            <w:bookmarkEnd w:id="300"/>
            <w:r>
              <w:rPr>
                <w:color w:val="auto"/>
                <w:highlight w:val="none"/>
              </w:rPr>
            </w:r>
            <w:bookmarkStart w:id="301" w:name="_Hlt26609391"/>
            <w:r>
              <w:rPr>
                <w:color w:val="auto"/>
                <w:highlight w:val="none"/>
              </w:rPr>
            </w:r>
            <w:bookmarkEnd w:id="301"/>
            <w:r>
              <w:rPr>
                <w:color w:val="auto"/>
                <w:highlight w:val="none"/>
              </w:rPr>
            </w:r>
            <w:bookmarkStart w:id="302" w:name="_Hlt26671372"/>
            <w:r>
              <w:rPr>
                <w:color w:val="auto"/>
                <w:highlight w:val="none"/>
              </w:rPr>
            </w:r>
            <w:bookmarkEnd w:id="302"/>
            <w:r>
              <w:rPr>
                <w:rFonts w:hint="eastAsia" w:ascii="宋体" w:hAnsi="宋体"/>
                <w:color w:val="auto"/>
                <w:sz w:val="24"/>
                <w:szCs w:val="24"/>
                <w:highlight w:val="none"/>
              </w:rPr>
              <w:t xml:space="preserve">序号</w:t>
            </w:r>
            <w:r>
              <w:rPr>
                <w:color w:val="auto"/>
                <w:highlight w:val="none"/>
              </w:rPr>
            </w:r>
          </w:p>
        </w:tc>
        <w:tc>
          <w:tcPr>
            <w:tcW w:w="3291" w:type="dxa"/>
            <w:vAlign w:val="center"/>
            <w:textDirection w:val="lrTb"/>
            <w:noWrap/>
          </w:tcPr>
          <w:p>
            <w:pPr>
              <w:jc w:val="center"/>
              <w:pageBreakBefore w:val="0"/>
              <w:rPr>
                <w:rFonts w:ascii="宋体" w:hAnsi="宋体"/>
                <w:color w:val="auto"/>
                <w:sz w:val="24"/>
                <w:szCs w:val="24"/>
                <w:highlight w:val="none"/>
              </w:rPr>
            </w:pPr>
            <w:r>
              <w:rPr>
                <w:rFonts w:hint="eastAsia" w:ascii="宋体" w:hAnsi="宋体"/>
                <w:color w:val="auto"/>
                <w:sz w:val="24"/>
                <w:szCs w:val="24"/>
                <w:highlight w:val="none"/>
              </w:rPr>
              <w:t xml:space="preserve">招标文件要求</w:t>
            </w:r>
            <w:r>
              <w:rPr>
                <w:color w:val="auto"/>
                <w:highlight w:val="none"/>
              </w:rPr>
            </w:r>
          </w:p>
        </w:tc>
        <w:tc>
          <w:tcPr>
            <w:tcW w:w="2852" w:type="dxa"/>
            <w:vAlign w:val="center"/>
            <w:textDirection w:val="lrTb"/>
            <w:noWrap/>
          </w:tcPr>
          <w:p>
            <w:pPr>
              <w:jc w:val="center"/>
              <w:pageBreakBefore w:val="0"/>
              <w:rPr>
                <w:rFonts w:ascii="宋体" w:hAnsi="宋体"/>
                <w:color w:val="auto"/>
                <w:sz w:val="24"/>
                <w:szCs w:val="24"/>
                <w:highlight w:val="none"/>
              </w:rPr>
            </w:pPr>
            <w:r>
              <w:rPr>
                <w:rFonts w:hint="eastAsia" w:ascii="宋体" w:hAnsi="宋体"/>
                <w:color w:val="auto"/>
                <w:sz w:val="24"/>
                <w:szCs w:val="24"/>
                <w:highlight w:val="none"/>
              </w:rPr>
              <w:t xml:space="preserve">投标响应情况</w:t>
            </w:r>
            <w:r>
              <w:rPr>
                <w:color w:val="auto"/>
                <w:highlight w:val="none"/>
              </w:rPr>
            </w:r>
          </w:p>
        </w:tc>
        <w:tc>
          <w:tcPr>
            <w:tcW w:w="1308" w:type="dxa"/>
            <w:vAlign w:val="center"/>
            <w:textDirection w:val="lrTb"/>
            <w:noWrap/>
          </w:tcPr>
          <w:p>
            <w:pPr>
              <w:ind w:left="0" w:firstLine="0"/>
              <w:jc w:val="both"/>
              <w:pageBreakBefore w:val="0"/>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rPr>
                <w:color w:val="auto"/>
                <w:highlight w:val="none"/>
              </w:rPr>
            </w:r>
          </w:p>
        </w:tc>
        <w:tc>
          <w:tcPr>
            <w:tcW w:w="1173" w:type="dxa"/>
            <w:vAlign w:val="center"/>
            <w:textDirection w:val="lrTb"/>
            <w:noWrap/>
          </w:tcPr>
          <w:p>
            <w:pPr>
              <w:ind w:left="0" w:firstLine="0"/>
              <w:jc w:val="both"/>
              <w:pageBreakBefore w:val="0"/>
              <w:rPr>
                <w:rFonts w:ascii="宋体" w:hAnsi="宋体"/>
                <w:color w:val="auto"/>
                <w:sz w:val="24"/>
                <w:szCs w:val="24"/>
                <w:highlight w:val="none"/>
              </w:rPr>
            </w:pPr>
            <w:r>
              <w:rPr>
                <w:rFonts w:hint="eastAsia" w:ascii="宋体" w:hAnsi="宋体"/>
                <w:color w:val="auto"/>
                <w:sz w:val="24"/>
                <w:szCs w:val="24"/>
                <w:highlight w:val="none"/>
              </w:rPr>
              <w:t xml:space="preserve">证明材料</w:t>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t xml:space="preserve">……</w:t>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bl>
    <w:p>
      <w:pPr>
        <w:pageBreakBefore w:val="0"/>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t xml:space="preserve">所有偏离必须在本表中列出，未在本偏离表中列出偏离，将视为</w:t>
      </w:r>
      <w:r>
        <w:rPr>
          <w:rFonts w:hint="eastAsia"/>
          <w:b/>
          <w:bCs/>
          <w:color w:val="auto"/>
          <w:highlight w:val="none"/>
          <w:lang w:val="en-US" w:eastAsia="zh-CN"/>
        </w:rPr>
        <w:t xml:space="preserve">供应商</w:t>
      </w:r>
      <w:r>
        <w:rPr>
          <w:rFonts w:hint="eastAsia" w:ascii="Times New Roman" w:hAnsi="Times New Roman"/>
          <w:b/>
          <w:bCs/>
          <w:color w:val="auto"/>
          <w:highlight w:val="none"/>
        </w:rPr>
        <w:t xml:space="preserve">已完全接受招标文件要求。如完全无偏离，也无其他说明，可在本表第一行“偏离”条款中填写“全部无偏离”</w:t>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24"/>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pStyle w:val="712"/>
        <w:rPr>
          <w:color w:val="auto"/>
          <w:highlight w:val="none"/>
        </w:rPr>
      </w:pPr>
      <w:r>
        <w:rPr>
          <w:rFonts w:hint="eastAsia"/>
          <w:color w:val="auto"/>
          <w:highlight w:val="none"/>
          <w:lang w:val="en-US" w:eastAsia="zh-CN"/>
        </w:rPr>
        <w:t xml:space="preserve">12.</w:t>
      </w:r>
      <w:r>
        <w:rPr>
          <w:rFonts w:hint="eastAsia" w:eastAsia="宋体"/>
          <w:color w:val="auto"/>
          <w:highlight w:val="none"/>
          <w:lang w:val="en-US" w:eastAsia="zh-CN"/>
        </w:rPr>
        <w:t xml:space="preserve">技术</w:t>
      </w:r>
      <w:r>
        <w:rPr>
          <w:rFonts w:hint="eastAsia"/>
          <w:color w:val="auto"/>
          <w:highlight w:val="none"/>
        </w:rPr>
        <w:t xml:space="preserve">要求响应及偏离表</w:t>
      </w:r>
      <w:r>
        <w:rPr>
          <w:color w:val="auto"/>
          <w:highlight w:val="none"/>
        </w:rPr>
      </w:r>
    </w:p>
    <w:tbl>
      <w:tblPr>
        <w:tblStyle w:val="71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ind w:left="0" w:firstLine="0"/>
              <w:jc w:val="both"/>
              <w:pageBreakBefore w:val="0"/>
              <w:rPr>
                <w:rFonts w:ascii="宋体" w:hAnsi="宋体"/>
                <w:color w:val="auto"/>
                <w:sz w:val="24"/>
                <w:szCs w:val="24"/>
                <w:highlight w:val="none"/>
              </w:rPr>
            </w:pPr>
            <w:r>
              <w:rPr>
                <w:rFonts w:hint="eastAsia" w:ascii="宋体" w:hAnsi="宋体"/>
                <w:color w:val="auto"/>
                <w:sz w:val="24"/>
                <w:szCs w:val="24"/>
                <w:highlight w:val="none"/>
              </w:rPr>
              <w:t xml:space="preserve">序号</w:t>
            </w:r>
            <w:r>
              <w:rPr>
                <w:color w:val="auto"/>
                <w:highlight w:val="none"/>
              </w:rPr>
            </w:r>
          </w:p>
        </w:tc>
        <w:tc>
          <w:tcPr>
            <w:tcW w:w="3291" w:type="dxa"/>
            <w:vAlign w:val="center"/>
            <w:textDirection w:val="lrTb"/>
            <w:noWrap/>
          </w:tcPr>
          <w:p>
            <w:pPr>
              <w:jc w:val="center"/>
              <w:pageBreakBefore w:val="0"/>
              <w:rPr>
                <w:rFonts w:ascii="宋体" w:hAnsi="宋体"/>
                <w:color w:val="auto"/>
                <w:sz w:val="24"/>
                <w:szCs w:val="24"/>
                <w:highlight w:val="none"/>
              </w:rPr>
            </w:pPr>
            <w:r>
              <w:rPr>
                <w:rFonts w:hint="eastAsia" w:ascii="宋体" w:hAnsi="宋体"/>
                <w:color w:val="auto"/>
                <w:sz w:val="24"/>
                <w:szCs w:val="24"/>
                <w:highlight w:val="none"/>
              </w:rPr>
              <w:t xml:space="preserve">招标文件要求</w:t>
            </w:r>
            <w:r>
              <w:rPr>
                <w:color w:val="auto"/>
                <w:highlight w:val="none"/>
              </w:rPr>
            </w:r>
          </w:p>
        </w:tc>
        <w:tc>
          <w:tcPr>
            <w:tcW w:w="2852" w:type="dxa"/>
            <w:vAlign w:val="center"/>
            <w:textDirection w:val="lrTb"/>
            <w:noWrap/>
          </w:tcPr>
          <w:p>
            <w:pPr>
              <w:jc w:val="center"/>
              <w:pageBreakBefore w:val="0"/>
              <w:rPr>
                <w:rFonts w:ascii="宋体" w:hAnsi="宋体"/>
                <w:color w:val="auto"/>
                <w:sz w:val="24"/>
                <w:szCs w:val="24"/>
                <w:highlight w:val="none"/>
              </w:rPr>
            </w:pPr>
            <w:r>
              <w:rPr>
                <w:rFonts w:hint="eastAsia" w:ascii="宋体" w:hAnsi="宋体"/>
                <w:color w:val="auto"/>
                <w:sz w:val="24"/>
                <w:szCs w:val="24"/>
                <w:highlight w:val="none"/>
              </w:rPr>
              <w:t xml:space="preserve">投标响应情况</w:t>
            </w:r>
            <w:r>
              <w:rPr>
                <w:color w:val="auto"/>
                <w:highlight w:val="none"/>
              </w:rPr>
            </w:r>
          </w:p>
        </w:tc>
        <w:tc>
          <w:tcPr>
            <w:tcW w:w="1308" w:type="dxa"/>
            <w:vAlign w:val="center"/>
            <w:textDirection w:val="lrTb"/>
            <w:noWrap/>
          </w:tcPr>
          <w:p>
            <w:pPr>
              <w:ind w:left="0" w:firstLine="0"/>
              <w:jc w:val="both"/>
              <w:pageBreakBefore w:val="0"/>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rPr>
                <w:color w:val="auto"/>
                <w:highlight w:val="none"/>
              </w:rPr>
            </w:r>
          </w:p>
        </w:tc>
        <w:tc>
          <w:tcPr>
            <w:tcW w:w="1173" w:type="dxa"/>
            <w:vAlign w:val="center"/>
            <w:textDirection w:val="lrTb"/>
            <w:noWrap/>
          </w:tcPr>
          <w:p>
            <w:pPr>
              <w:ind w:left="0" w:firstLine="0"/>
              <w:jc w:val="both"/>
              <w:pageBreakBefore w:val="0"/>
              <w:rPr>
                <w:rFonts w:ascii="宋体" w:hAnsi="宋体"/>
                <w:color w:val="auto"/>
                <w:sz w:val="24"/>
                <w:szCs w:val="24"/>
                <w:highlight w:val="none"/>
              </w:rPr>
            </w:pPr>
            <w:r>
              <w:rPr>
                <w:rFonts w:hint="eastAsia" w:ascii="宋体" w:hAnsi="宋体"/>
                <w:color w:val="auto"/>
                <w:sz w:val="24"/>
                <w:szCs w:val="24"/>
                <w:highlight w:val="none"/>
              </w:rPr>
              <w:t xml:space="preserve">证明材料</w:t>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r>
        <w:trPr>
          <w:cantSplit/>
          <w:trHeight w:val="640"/>
        </w:trPr>
        <w:tc>
          <w:tcPr>
            <w:tcW w:w="545"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3291"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t xml:space="preserve">……</w:t>
            </w:r>
            <w:r>
              <w:rPr>
                <w:color w:val="auto"/>
                <w:highlight w:val="none"/>
              </w:rPr>
            </w:r>
          </w:p>
        </w:tc>
        <w:tc>
          <w:tcPr>
            <w:tcW w:w="2852"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308"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c>
          <w:tcPr>
            <w:tcW w:w="1173" w:type="dxa"/>
            <w:textDirection w:val="lrTb"/>
            <w:noWrap/>
          </w:tcPr>
          <w:p>
            <w:pPr>
              <w:jc w:val="center"/>
              <w:pageBreakBefore w:val="0"/>
              <w:rPr>
                <w:rFonts w:ascii="宋体" w:hAnsi="宋体"/>
                <w:color w:val="auto"/>
                <w:sz w:val="24"/>
                <w:szCs w:val="24"/>
                <w:highlight w:val="none"/>
              </w:rPr>
            </w:pPr>
            <w:r>
              <w:rPr>
                <w:rFonts w:ascii="宋体" w:hAnsi="宋体"/>
                <w:color w:val="auto"/>
                <w:sz w:val="24"/>
                <w:szCs w:val="24"/>
                <w:highlight w:val="none"/>
              </w:rPr>
            </w:r>
            <w:r>
              <w:rPr>
                <w:color w:val="auto"/>
                <w:highlight w:val="none"/>
              </w:rPr>
            </w:r>
          </w:p>
        </w:tc>
      </w:tr>
    </w:tbl>
    <w:p>
      <w:pPr>
        <w:pageBreakBefore w:val="0"/>
        <w:rPr>
          <w:rFonts w:ascii="宋体" w:hAnsi="宋体"/>
          <w:color w:val="auto"/>
          <w:sz w:val="24"/>
          <w:szCs w:val="24"/>
          <w:highlight w:val="none"/>
        </w:rPr>
      </w:pPr>
      <w:r>
        <w:rPr>
          <w:rFonts w:hint="eastAsia" w:ascii="宋体" w:hAnsi="宋体"/>
          <w:color w:val="auto"/>
          <w:sz w:val="24"/>
          <w:szCs w:val="24"/>
          <w:highlight w:val="none"/>
        </w:rPr>
        <w:t xml:space="preserve">注： 行数不够，可自行添加。</w:t>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t xml:space="preserve">所有偏离必须在本表中列出，未在本偏离表中列出偏离，将视为</w:t>
      </w:r>
      <w:r>
        <w:rPr>
          <w:rFonts w:hint="eastAsia"/>
          <w:b/>
          <w:bCs/>
          <w:color w:val="auto"/>
          <w:highlight w:val="none"/>
          <w:lang w:val="en-US" w:eastAsia="zh-CN"/>
        </w:rPr>
        <w:t xml:space="preserve">供应商</w:t>
      </w:r>
      <w:r>
        <w:rPr>
          <w:rFonts w:hint="eastAsia" w:ascii="Times New Roman" w:hAnsi="Times New Roman"/>
          <w:b/>
          <w:bCs/>
          <w:color w:val="auto"/>
          <w:highlight w:val="none"/>
        </w:rPr>
        <w:t xml:space="preserve">已完全接受招标文件要求。如完全无偏离，也无其他说明，可在本表第一行“偏离”条款中填写“全部无偏离”</w:t>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Times New Roman" w:hAnsi="Times New Roman"/>
          <w:b/>
          <w:bCs/>
          <w:color w:val="auto"/>
          <w:highlight w:val="none"/>
        </w:rPr>
      </w:pPr>
      <w:r>
        <w:rPr>
          <w:rFonts w:hint="eastAsia" w:ascii="Times New Roman" w:hAnsi="Times New Roman"/>
          <w:b/>
          <w:bCs/>
          <w:color w:val="auto"/>
          <w:highlight w:val="none"/>
        </w:rPr>
      </w:r>
      <w:r>
        <w:rPr>
          <w:color w:val="auto"/>
          <w:highlight w:val="none"/>
        </w:rPr>
      </w:r>
    </w:p>
    <w:p>
      <w:pPr>
        <w:jc w:val="left"/>
        <w:pageBreakBefore w:val="0"/>
        <w:tabs>
          <w:tab w:val="left" w:pos="208" w:leader="none"/>
        </w:tabs>
        <w:rPr>
          <w:rFonts w:hint="eastAsia" w:ascii="黑体" w:hAnsi="Arial" w:eastAsia="黑体"/>
          <w:b/>
          <w:color w:val="auto"/>
          <w:sz w:val="36"/>
          <w:szCs w:val="21"/>
          <w:highlight w:val="none"/>
        </w:rPr>
      </w:pPr>
      <w:r>
        <w:rPr>
          <w:rFonts w:hint="eastAsia" w:ascii="黑体" w:hAnsi="Arial" w:eastAsia="黑体"/>
          <w:b/>
          <w:color w:val="auto"/>
          <w:sz w:val="36"/>
          <w:szCs w:val="21"/>
          <w:highlight w:val="none"/>
          <w:lang w:eastAsia="zh-CN"/>
        </w:rPr>
      </w:r>
      <w:r>
        <w:rPr>
          <w:color w:val="auto"/>
          <w:highlight w:val="none"/>
        </w:rPr>
      </w:r>
    </w:p>
    <w:p>
      <w:pPr>
        <w:pStyle w:val="712"/>
        <w:jc w:val="both"/>
        <w:rPr>
          <w:rFonts w:hint="eastAsia"/>
          <w:color w:val="auto"/>
          <w:highlight w:val="none"/>
        </w:rPr>
      </w:pPr>
      <w:r>
        <w:rPr>
          <w:rFonts w:hint="eastAsia" w:eastAsia="宋体"/>
          <w:color w:val="auto"/>
          <w:highlight w:val="none"/>
          <w:lang w:val="en-US" w:eastAsia="zh-CN"/>
        </w:rPr>
        <w:t xml:space="preserve">13.</w:t>
      </w:r>
      <w:r>
        <w:rPr>
          <w:rFonts w:hint="eastAsia"/>
          <w:color w:val="auto"/>
          <w:highlight w:val="none"/>
        </w:rPr>
        <w:t xml:space="preserve">类似项目业绩一览表</w:t>
      </w:r>
      <w:r>
        <w:rPr>
          <w:color w:val="auto"/>
          <w:highlight w:val="none"/>
        </w:rPr>
      </w:r>
    </w:p>
    <w:tbl>
      <w:tblPr>
        <w:tblStyle w:val="7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3"/>
        <w:gridCol w:w="2464"/>
        <w:gridCol w:w="2155"/>
        <w:gridCol w:w="1372"/>
        <w:gridCol w:w="2443"/>
      </w:tblGrid>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序号</w:t>
            </w:r>
            <w:r>
              <w:rPr>
                <w:color w:val="auto"/>
                <w:highlight w:val="none"/>
              </w:rP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lang w:val="en-US" w:eastAsia="zh-CN"/>
              </w:rPr>
              <w:t xml:space="preserve">工程</w:t>
            </w:r>
            <w:r>
              <w:rPr>
                <w:rFonts w:hint="eastAsia" w:ascii="宋体" w:hAnsi="宋体" w:eastAsia="宋体" w:cs="宋体"/>
                <w:color w:val="auto"/>
                <w:sz w:val="28"/>
                <w:highlight w:val="none"/>
              </w:rPr>
              <w:t xml:space="preserve">名称</w:t>
            </w:r>
            <w:r>
              <w:rPr>
                <w:color w:val="auto"/>
                <w:highlight w:val="none"/>
              </w:rP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签订时间</w:t>
            </w:r>
            <w:r>
              <w:rPr>
                <w:color w:val="auto"/>
                <w:highlight w:val="none"/>
              </w:rP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lang w:val="en-US" w:eastAsia="zh-CN"/>
              </w:rPr>
              <w:t xml:space="preserve">业主</w:t>
            </w:r>
            <w:r>
              <w:rPr>
                <w:rFonts w:hint="eastAsia" w:ascii="宋体" w:hAnsi="宋体" w:eastAsia="宋体" w:cs="宋体"/>
                <w:color w:val="auto"/>
                <w:sz w:val="28"/>
                <w:highlight w:val="none"/>
              </w:rPr>
              <w:t xml:space="preserve">单位</w:t>
            </w:r>
            <w:r>
              <w:rPr>
                <w:color w:val="auto"/>
                <w:highlight w:val="none"/>
              </w:rP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合同金额</w:t>
            </w:r>
            <w:r>
              <w:rPr>
                <w:color w:val="auto"/>
                <w:highlight w:val="none"/>
              </w:rP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753"/>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r>
        <w:trPr>
          <w:jc w:val="center"/>
          <w:trHeight w:val="772"/>
        </w:trPr>
        <w:tc>
          <w:tcPr>
            <w:tcW w:w="102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6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15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1372"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c>
          <w:tcPr>
            <w:tcW w:w="2443"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tc>
      </w:tr>
    </w:tbl>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u w:val="single"/>
        </w:rPr>
        <w:t xml:space="preserve">            </w:t>
      </w:r>
      <w:r>
        <w:rPr>
          <w:color w:val="auto"/>
          <w:highlight w:val="none"/>
        </w:rPr>
      </w:r>
    </w:p>
    <w:p>
      <w:pPr>
        <w:spacing w:line="52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法定代表人或授权委托人签字或盖章：</w:t>
      </w:r>
      <w:r>
        <w:rPr>
          <w:rFonts w:hint="eastAsia" w:ascii="宋体" w:hAnsi="宋体" w:eastAsia="宋体" w:cs="宋体"/>
          <w:color w:val="auto"/>
          <w:sz w:val="24"/>
          <w:highlight w:val="none"/>
          <w:u w:val="single"/>
        </w:rPr>
        <w:t xml:space="preserve">            </w:t>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日期：  年  月  日</w:t>
      </w:r>
      <w:r>
        <w:rPr>
          <w:color w:val="auto"/>
          <w:highlight w:val="none"/>
        </w:rPr>
      </w:r>
    </w:p>
    <w:p>
      <w:pPr>
        <w:pStyle w:val="760"/>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lang w:val="en-US" w:eastAsia="zh-CN"/>
        </w:rPr>
      </w:r>
      <w:r>
        <w:rPr>
          <w:color w:val="auto"/>
          <w:highlight w:val="none"/>
        </w:rP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pStyle w:val="926"/>
        <w:rPr>
          <w:rFonts w:hint="eastAsia"/>
          <w:color w:val="auto"/>
          <w:highlight w:val="none"/>
        </w:rPr>
      </w:pPr>
      <w:r>
        <w:rPr>
          <w:rFonts w:hint="eastAsia"/>
          <w:color w:val="auto"/>
          <w:highlight w:val="none"/>
        </w:rPr>
      </w:r>
      <w:r>
        <w:rPr>
          <w:color w:val="auto"/>
          <w:highlight w:val="none"/>
        </w:rPr>
      </w:r>
    </w:p>
    <w:p>
      <w:pPr>
        <w:pStyle w:val="927"/>
        <w:rPr>
          <w:rFonts w:hint="eastAsia"/>
          <w:color w:val="auto"/>
          <w:highlight w:val="none"/>
        </w:rPr>
      </w:pPr>
      <w:r>
        <w:rPr>
          <w:rFonts w:hint="eastAsia"/>
          <w:color w:val="auto"/>
          <w:highlight w:val="none"/>
        </w:rPr>
      </w:r>
      <w:r>
        <w:rPr>
          <w:color w:val="auto"/>
          <w:highlight w:val="none"/>
        </w:rPr>
      </w:r>
    </w:p>
    <w:p>
      <w:pPr>
        <w:pStyle w:val="927"/>
        <w:rPr>
          <w:rFonts w:hint="eastAsia"/>
          <w:color w:val="auto"/>
          <w:highlight w:val="none"/>
        </w:rPr>
      </w:pPr>
      <w:r>
        <w:rPr>
          <w:rFonts w:hint="eastAsia"/>
          <w:color w:val="auto"/>
          <w:highlight w:val="none"/>
        </w:rPr>
      </w:r>
      <w:r>
        <w:rPr>
          <w:color w:val="auto"/>
          <w:highlight w:val="none"/>
        </w:rP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numPr>
          <w:ilvl w:val="0"/>
          <w:numId w:val="0"/>
        </w:numPr>
        <w:jc w:val="both"/>
        <w:rPr>
          <w:rFonts w:hint="eastAsia" w:ascii="宋体" w:hAnsi="宋体" w:eastAsia="宋体" w:cs="宋体"/>
          <w:b/>
          <w:bCs/>
          <w:color w:val="auto"/>
          <w:sz w:val="32"/>
          <w:szCs w:val="32"/>
          <w:highlight w:val="none"/>
        </w:rPr>
        <w:outlineLvl w:val="0"/>
      </w:pPr>
      <w:r>
        <w:rPr>
          <w:color w:val="auto"/>
          <w:highlight w:val="none"/>
        </w:rPr>
      </w:r>
      <w:bookmarkStart w:id="303" w:name="_Toc7264"/>
      <w:r>
        <w:rPr>
          <w:color w:val="auto"/>
          <w:highlight w:val="none"/>
        </w:rPr>
      </w:r>
      <w:bookmarkStart w:id="304" w:name="_Toc24229"/>
      <w:r>
        <w:rPr>
          <w:color w:val="auto"/>
          <w:highlight w:val="none"/>
        </w:rPr>
      </w:r>
      <w:bookmarkStart w:id="305" w:name="_Toc860"/>
      <w:r>
        <w:rPr>
          <w:color w:val="auto"/>
          <w:highlight w:val="none"/>
        </w:rPr>
      </w:r>
      <w:r>
        <w:rPr>
          <w:color w:val="auto"/>
          <w:highlight w:val="none"/>
        </w:rPr>
      </w:r>
    </w:p>
    <w:p>
      <w:pPr>
        <w:numPr>
          <w:ilvl w:val="0"/>
          <w:numId w:val="0"/>
        </w:numPr>
        <w:jc w:val="both"/>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lang w:val="en-US" w:eastAsia="zh-CN"/>
        </w:rPr>
      </w:r>
      <w:r>
        <w:rPr>
          <w:color w:val="auto"/>
          <w:highlight w:val="none"/>
        </w:rPr>
      </w:r>
    </w:p>
    <w:p>
      <w:pPr>
        <w:numPr>
          <w:ilvl w:val="0"/>
          <w:numId w:val="0"/>
        </w:numPr>
        <w:jc w:val="both"/>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lang w:val="en-US" w:eastAsia="zh-CN"/>
        </w:rPr>
      </w:r>
      <w:r>
        <w:rPr>
          <w:color w:val="auto"/>
          <w:highlight w:val="none"/>
        </w:rPr>
      </w:r>
    </w:p>
    <w:p>
      <w:pPr>
        <w:pStyle w:val="712"/>
        <w:jc w:val="center"/>
        <w:rPr>
          <w:rFonts w:hint="eastAsia"/>
          <w:color w:val="auto"/>
          <w:highlight w:val="none"/>
        </w:rPr>
      </w:pPr>
      <w:r>
        <w:rPr>
          <w:rFonts w:hint="eastAsia"/>
          <w:color w:val="auto"/>
          <w:highlight w:val="none"/>
          <w:lang w:val="en-US" w:eastAsia="zh-CN"/>
        </w:rPr>
        <w:t xml:space="preserve">14.已标价的</w:t>
      </w:r>
      <w:r>
        <w:rPr>
          <w:rFonts w:hint="eastAsia"/>
          <w:color w:val="auto"/>
          <w:highlight w:val="none"/>
        </w:rPr>
        <w:t xml:space="preserve">工程量清单</w:t>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b/>
          <w:bCs/>
          <w:color w:val="auto"/>
          <w:highlight w:val="none"/>
        </w:rPr>
      </w:pPr>
      <w:r>
        <w:rPr>
          <w:rFonts w:hAnsi="宋体"/>
          <w:b/>
          <w:bCs/>
          <w:color w:val="auto"/>
          <w:highlight w:val="none"/>
        </w:rPr>
      </w:r>
      <w:r>
        <w:rPr>
          <w:color w:val="auto"/>
          <w:highlight w:val="none"/>
        </w:rPr>
      </w:r>
    </w:p>
    <w:p>
      <w:pPr>
        <w:rPr>
          <w:rFonts w:hAnsi="宋体"/>
          <w:color w:val="auto"/>
          <w:szCs w:val="24"/>
          <w:highlight w:val="none"/>
        </w:rPr>
      </w:pPr>
      <w:r>
        <w:rPr>
          <w:rFonts w:hAnsi="宋体"/>
          <w:b/>
          <w:bCs/>
          <w:color w:val="auto"/>
          <w:highlight w:val="none"/>
        </w:rPr>
        <w:t xml:space="preserve">注：各分项最终结算价按照磋商首次报价与最后报价作同比例变动。</w:t>
      </w:r>
      <w:r>
        <w:rPr>
          <w:color w:val="auto"/>
          <w:highlight w:val="none"/>
        </w:rPr>
      </w:r>
    </w:p>
    <w:p>
      <w:pPr>
        <w:numPr>
          <w:ilvl w:val="0"/>
          <w:numId w:val="0"/>
        </w:numPr>
        <w:jc w:val="both"/>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lang w:val="en-US" w:eastAsia="zh-CN"/>
        </w:rPr>
      </w:r>
      <w:r>
        <w:rPr>
          <w:color w:val="auto"/>
          <w:highlight w:val="none"/>
        </w:rPr>
      </w:r>
    </w:p>
    <w:p>
      <w:pPr>
        <w:pStyle w:val="712"/>
        <w:jc w:val="center"/>
        <w:rPr>
          <w:rFonts w:hint="eastAsia"/>
          <w:color w:val="auto"/>
          <w:highlight w:val="none"/>
        </w:rPr>
      </w:pPr>
      <w:r>
        <w:rPr>
          <w:rFonts w:hint="eastAsia"/>
          <w:color w:val="auto"/>
          <w:highlight w:val="none"/>
          <w:lang w:val="en-US" w:eastAsia="zh-CN"/>
        </w:rPr>
        <w:t xml:space="preserve">15.其它材料</w:t>
      </w:r>
      <w:bookmarkEnd w:id="303"/>
      <w:r>
        <w:rPr>
          <w:color w:val="auto"/>
          <w:highlight w:val="none"/>
        </w:rPr>
      </w:r>
      <w:bookmarkEnd w:id="304"/>
      <w:r>
        <w:rPr>
          <w:color w:val="auto"/>
          <w:highlight w:val="none"/>
        </w:rPr>
      </w:r>
      <w:bookmarkEnd w:id="305"/>
      <w:r>
        <w:rPr>
          <w:color w:val="auto"/>
          <w:highlight w:val="none"/>
        </w:rPr>
      </w:r>
      <w:r>
        <w:rPr>
          <w:color w:val="auto"/>
          <w:highlight w:val="none"/>
        </w:rPr>
      </w:r>
    </w:p>
    <w:p>
      <w:pPr>
        <w:ind w:firstLine="420"/>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rPr>
          <w:color w:val="auto"/>
          <w:highlight w:val="none"/>
        </w:rPr>
      </w:r>
    </w:p>
    <w:p>
      <w:pPr>
        <w:ind w:firstLine="420"/>
        <w:jc w:val="center"/>
        <w:spacing w:line="520" w:lineRule="exact"/>
        <w:rPr>
          <w:rFonts w:hint="eastAsia" w:ascii="宋体" w:hAnsi="宋体" w:eastAsia="宋体" w:cs="宋体"/>
          <w:color w:val="auto"/>
          <w:sz w:val="28"/>
          <w:highlight w:val="none"/>
        </w:rPr>
        <w:outlineLvl w:val="0"/>
      </w:pPr>
      <w:r>
        <w:rPr>
          <w:color w:val="auto"/>
          <w:highlight w:val="none"/>
        </w:rPr>
      </w:r>
      <w:bookmarkStart w:id="306" w:name="_Toc29343"/>
      <w:r>
        <w:rPr>
          <w:color w:val="auto"/>
          <w:highlight w:val="none"/>
        </w:rPr>
      </w:r>
      <w:bookmarkStart w:id="307" w:name="_Toc10037"/>
      <w:r>
        <w:rPr>
          <w:color w:val="auto"/>
          <w:highlight w:val="none"/>
        </w:rPr>
      </w:r>
      <w:bookmarkStart w:id="308" w:name="_Toc11517_WPSOffice_Level1"/>
      <w:r>
        <w:rPr>
          <w:color w:val="auto"/>
          <w:highlight w:val="none"/>
        </w:rPr>
      </w:r>
      <w:bookmarkStart w:id="309" w:name="_Toc4695"/>
      <w:r>
        <w:rPr>
          <w:color w:val="auto"/>
          <w:highlight w:val="none"/>
        </w:rPr>
      </w:r>
      <w:bookmarkStart w:id="310" w:name="_Toc15866"/>
      <w:r>
        <w:rPr>
          <w:rFonts w:hint="eastAsia" w:ascii="宋体" w:hAnsi="宋体" w:eastAsia="宋体" w:cs="宋体"/>
          <w:color w:val="auto"/>
          <w:sz w:val="28"/>
          <w:highlight w:val="none"/>
        </w:rPr>
        <w:t xml:space="preserve">供应商认为有必要提供的材料或评分标准中需要提供的材料。</w:t>
      </w:r>
      <w:bookmarkEnd w:id="306"/>
      <w:r>
        <w:rPr>
          <w:color w:val="auto"/>
          <w:highlight w:val="none"/>
        </w:rPr>
      </w:r>
      <w:bookmarkEnd w:id="307"/>
      <w:r>
        <w:rPr>
          <w:color w:val="auto"/>
          <w:highlight w:val="none"/>
        </w:rPr>
      </w:r>
      <w:bookmarkEnd w:id="308"/>
      <w:r>
        <w:rPr>
          <w:color w:val="auto"/>
          <w:highlight w:val="none"/>
        </w:rPr>
      </w:r>
      <w:bookmarkEnd w:id="309"/>
      <w:r>
        <w:rPr>
          <w:color w:val="auto"/>
          <w:highlight w:val="none"/>
        </w:rPr>
      </w:r>
      <w:bookmarkEnd w:id="310"/>
      <w:r>
        <w:rPr>
          <w:color w:val="auto"/>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rPr>
          <w:color w:val="auto"/>
          <w:highlight w:val="none"/>
        </w:rPr>
      </w:r>
    </w:p>
    <w:p>
      <w:pPr>
        <w:spacing w:line="500" w:lineRule="exact"/>
        <w:rPr>
          <w:rFonts w:ascii="宋体" w:hAnsi="宋体" w:eastAsia="宋体" w:cs="仿宋"/>
          <w:bCs/>
          <w:color w:val="auto"/>
          <w:sz w:val="24"/>
          <w:szCs w:val="24"/>
          <w:highlight w:val="none"/>
        </w:rPr>
      </w:pP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rPr>
          <w:color w:val="auto"/>
          <w:highlight w:val="none"/>
        </w:rP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rPr>
          <w:color w:val="auto"/>
          <w:highlight w:val="none"/>
        </w:rP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rPr>
          <w:color w:val="auto"/>
          <w:highlight w:val="none"/>
        </w:rP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rPr>
          <w:color w:val="auto"/>
          <w:highlight w:val="none"/>
        </w:rP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rPr>
          <w:color w:val="auto"/>
          <w:highlight w:val="none"/>
        </w:rP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rPr>
          <w:color w:val="auto"/>
          <w:highlight w:val="none"/>
        </w:rP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rPr>
          <w:color w:val="auto"/>
          <w:highlight w:val="none"/>
        </w:rP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rPr>
          <w:color w:val="auto"/>
          <w:highlight w:val="none"/>
        </w:rP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rPr>
          <w:color w:val="auto"/>
          <w:highlight w:val="none"/>
        </w:rP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rPr>
          <w:color w:val="auto"/>
          <w:highlight w:val="none"/>
        </w:rP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rPr>
          <w:color w:val="auto"/>
          <w:highlight w:val="none"/>
        </w:rP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color w:val="auto"/>
          <w:highlight w:val="none"/>
        </w:rP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rPr>
          <w:color w:val="auto"/>
          <w:highlight w:val="none"/>
        </w:rP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rPr>
          <w:color w:val="auto"/>
          <w:highlight w:val="none"/>
        </w:rP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rPr>
          <w:color w:val="auto"/>
          <w:highlight w:val="none"/>
        </w:rPr>
      </w:r>
    </w:p>
    <w:p>
      <w:pPr>
        <w:ind w:firstLine="480"/>
        <w:jc w:val="left"/>
        <w:spacing w:line="500" w:lineRule="exact"/>
        <w:widowControl/>
        <w:rPr>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color w:val="auto"/>
          <w:highlight w:val="none"/>
        </w:rP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p>
    <w:sectPr>
      <w:footerReference w:type="default" r:id="rId11"/>
      <w:footerReference w:type="first" r:id="rId12"/>
      <w:footnotePr/>
      <w:endnotePr/>
      <w:type w:val="nextPage"/>
      <w:pgSz w:w="11906" w:h="16838" w:orient="portrait"/>
      <w:pgMar w:top="1015" w:right="987"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方正黑体_GBK">
    <w:panose1 w:val="020B0503020202020204"/>
  </w:font>
  <w:font w:name="仿宋">
    <w:panose1 w:val="02010609060101010101"/>
  </w:font>
  <w:font w:name="Tahoma">
    <w:panose1 w:val="020B0604030504040204"/>
  </w:font>
  <w:font w:name="Book Antiqua">
    <w:panose1 w:val="02040602050305030304"/>
  </w:font>
  <w:font w:name="方正楷体_GBK">
    <w:panose1 w:val="020B0503020202020204"/>
  </w:font>
  <w:font w:name="Segoe UI">
    <w:panose1 w:val="020B0502040204020203"/>
  </w:font>
  <w:font w:name="PMingLiU">
    <w:panose1 w:val="02020500000000000000"/>
  </w:font>
  <w:font w:name="Cambria">
    <w:panose1 w:val="02040503050406030204"/>
  </w:font>
  <w:font w:name="Calibri">
    <w:panose1 w:val="020F0502020204030204"/>
  </w:font>
  <w:font w:name="Symbol">
    <w:panose1 w:val="05050102010706020507"/>
  </w:font>
  <w:font w:name="新宋体">
    <w:panose1 w:val="02010609030101010101"/>
  </w:font>
  <w:font w:name="楷体_GB2312">
    <w:panose1 w:val="02010609060101010101"/>
  </w:font>
  <w:font w:name="方正姚体">
    <w:panose1 w:val="02010601030101010101"/>
  </w:font>
  <w:font w:name="Verdana">
    <w:panose1 w:val="020B0604030504040204"/>
  </w:font>
  <w:font w:name="仿宋_GB2312">
    <w:panose1 w:val="02010609060101010101"/>
  </w:font>
  <w:font w:name="黑体">
    <w:panose1 w:val="02010609060101010101"/>
  </w:font>
  <w:font w:name="幼圆">
    <w:panose1 w:val="020105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7"/>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tabs>
        <w:tab w:val="left" w:pos="8058" w:leader="none"/>
      </w:tabs>
      <w:rPr>
        <w:rFonts w:hint="eastAsia"/>
        <w:color w:val="000000"/>
      </w:rPr>
    </w:pPr>
    <w:r>
      <w:rPr>
        <w:rFonts w:hint="eastAsia"/>
        <w:color w:val="000000"/>
      </w:rPr>
      <w:t xml:space="preserve">                                               竞争性磋商文件</w:t>
    </w:r>
    <w:r/>
  </w:p>
  <w:p>
    <w:pPr>
      <w:pStyle w:val="911"/>
      <w:keepLines w:val="0"/>
      <w:keepNext/>
      <w:pageBreakBefore w:val="0"/>
      <w:spacing w:line="120" w:lineRule="auto"/>
      <w:widowControl w:val="off"/>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997"/>
      <w:isLgl w:val="false"/>
      <w:suff w:val="tab"/>
      <w:lvlText w:val="第%1章"/>
      <w:lvlJc w:val="left"/>
      <w:pPr>
        <w:ind w:left="9351" w:hanging="420"/>
      </w:pPr>
      <w:rPr>
        <w:rFonts w:hint="eastAsia" w:ascii="黑体" w:eastAsia="黑体"/>
        <w:b w:val="0"/>
        <w:sz w:val="36"/>
        <w:lang w:val="en-US"/>
      </w:rPr>
    </w:lvl>
    <w:lvl w:ilvl="1">
      <w:start w:val="1"/>
      <w:numFmt w:val="decimal"/>
      <w:pStyle w:val="998"/>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86"/>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8"/>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bullet"/>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4">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link w:val="9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name w:val="Heading 1"/>
    <w:basedOn w:val="708"/>
    <w:next w:val="708"/>
    <w:link w:val="763"/>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08"/>
    <w:link w:val="764"/>
    <w:uiPriority w:val="9"/>
    <w:unhideWhenUsed/>
    <w:qFormat/>
    <w:pPr>
      <w:keepLines/>
      <w:keepNext/>
      <w:spacing w:before="360" w:after="200"/>
      <w:outlineLvl w:val="1"/>
    </w:pPr>
    <w:rPr>
      <w:rFonts w:ascii="Arial" w:hAnsi="Arial" w:eastAsia="Arial" w:cs="Arial"/>
      <w:sz w:val="34"/>
    </w:rPr>
  </w:style>
  <w:style w:type="paragraph" w:styleId="711">
    <w:name w:val="Heading 3"/>
    <w:basedOn w:val="708"/>
    <w:next w:val="708"/>
    <w:link w:val="765"/>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66"/>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67"/>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68"/>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70"/>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71"/>
    <w:uiPriority w:val="9"/>
    <w:unhideWhenUsed/>
    <w:qFormat/>
    <w:pPr>
      <w:keepLines/>
      <w:keepNext/>
      <w:spacing w:before="320" w:after="200"/>
      <w:outlineLvl w:val="8"/>
    </w:pPr>
    <w:rPr>
      <w:rFonts w:ascii="Arial" w:hAnsi="Arial" w:eastAsia="Arial" w:cs="Arial"/>
      <w:i/>
      <w:iCs/>
      <w:sz w:val="21"/>
      <w:szCs w:val="21"/>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toc 7"/>
    <w:basedOn w:val="708"/>
    <w:next w:val="708"/>
    <w:uiPriority w:val="39"/>
    <w:unhideWhenUsed/>
    <w:qFormat/>
    <w:pPr>
      <w:ind w:left="1701" w:right="0" w:firstLine="0"/>
      <w:spacing w:after="57"/>
    </w:pPr>
  </w:style>
  <w:style w:type="paragraph" w:styleId="721">
    <w:name w:val="Normal Indent"/>
    <w:basedOn w:val="708"/>
    <w:uiPriority w:val="0"/>
    <w:qFormat/>
    <w:pPr>
      <w:ind w:firstLine="420"/>
    </w:pPr>
    <w:rPr>
      <w:szCs w:val="20"/>
    </w:r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8"/>
    <w:uiPriority w:val="99"/>
    <w:semiHidden/>
    <w:unhideWhenUsed/>
    <w:qFormat/>
    <w:pPr>
      <w:jc w:val="left"/>
    </w:pPr>
  </w:style>
  <w:style w:type="paragraph" w:styleId="724">
    <w:name w:val="Body Text"/>
    <w:basedOn w:val="708"/>
    <w:uiPriority w:val="0"/>
    <w:qFormat/>
    <w:pPr>
      <w:jc w:val="center"/>
    </w:pPr>
  </w:style>
  <w:style w:type="paragraph" w:styleId="725">
    <w:name w:val="Body Text Indent"/>
    <w:basedOn w:val="708"/>
    <w:uiPriority w:val="0"/>
    <w:qFormat/>
    <w:pPr>
      <w:ind w:firstLine="301"/>
      <w:spacing w:line="200" w:lineRule="exact"/>
    </w:pPr>
    <w:rPr>
      <w:rFonts w:ascii="宋体" w:hAnsi="Courier New"/>
      <w:spacing w:val="-4"/>
      <w:sz w:val="18"/>
      <w:szCs w:val="20"/>
    </w:rPr>
  </w:style>
  <w:style w:type="paragraph" w:styleId="726">
    <w:name w:val="index 4"/>
    <w:basedOn w:val="708"/>
    <w:next w:val="708"/>
    <w:uiPriority w:val="99"/>
    <w:unhideWhenUsed/>
    <w:qFormat/>
    <w:pPr>
      <w:ind w:left="600"/>
    </w:pPr>
    <w:rPr>
      <w:rFonts w:ascii="Verdana" w:hAnsi="Verdana"/>
      <w:szCs w:val="20"/>
    </w:rPr>
  </w:style>
  <w:style w:type="paragraph" w:styleId="727">
    <w:name w:val="toc 5"/>
    <w:basedOn w:val="708"/>
    <w:next w:val="708"/>
    <w:uiPriority w:val="39"/>
    <w:unhideWhenUsed/>
    <w:qFormat/>
    <w:pPr>
      <w:ind w:left="1134" w:right="0" w:firstLine="0"/>
      <w:spacing w:after="57"/>
    </w:pPr>
  </w:style>
  <w:style w:type="paragraph" w:styleId="728">
    <w:name w:val="toc 3"/>
    <w:basedOn w:val="708"/>
    <w:next w:val="708"/>
    <w:uiPriority w:val="39"/>
    <w:unhideWhenUsed/>
    <w:qFormat/>
    <w:pPr>
      <w:ind w:left="567" w:right="0" w:firstLine="0"/>
      <w:spacing w:after="57"/>
    </w:pPr>
  </w:style>
  <w:style w:type="paragraph" w:styleId="729">
    <w:name w:val="Plain Text"/>
    <w:basedOn w:val="708"/>
    <w:uiPriority w:val="0"/>
    <w:qFormat/>
    <w:pPr>
      <w:ind w:firstLine="0"/>
      <w:jc w:val="both"/>
      <w:spacing w:line="240" w:lineRule="auto"/>
    </w:pPr>
    <w:rPr>
      <w:rFonts w:hAnsi="Courier New" w:eastAsia="楷体_GB2312"/>
      <w:color w:val="000000"/>
      <w:sz w:val="26"/>
    </w:rPr>
  </w:style>
  <w:style w:type="paragraph" w:styleId="730">
    <w:name w:val="toc 8"/>
    <w:basedOn w:val="708"/>
    <w:next w:val="708"/>
    <w:uiPriority w:val="39"/>
    <w:unhideWhenUsed/>
    <w:qFormat/>
    <w:pPr>
      <w:ind w:left="1984" w:right="0" w:firstLine="0"/>
      <w:spacing w:after="57"/>
    </w:pPr>
  </w:style>
  <w:style w:type="paragraph" w:styleId="731">
    <w:name w:val="endnote text"/>
    <w:basedOn w:val="708"/>
    <w:link w:val="909"/>
    <w:uiPriority w:val="99"/>
    <w:semiHidden/>
    <w:unhideWhenUsed/>
    <w:qFormat/>
    <w:pPr>
      <w:spacing w:after="0" w:line="240" w:lineRule="auto"/>
    </w:pPr>
    <w:rPr>
      <w:sz w:val="20"/>
    </w:rPr>
  </w:style>
  <w:style w:type="paragraph" w:styleId="732">
    <w:name w:val="Footer"/>
    <w:basedOn w:val="708"/>
    <w:link w:val="782"/>
    <w:uiPriority w:val="99"/>
    <w:unhideWhenUsed/>
    <w:qFormat/>
    <w:pPr>
      <w:spacing w:after="0" w:line="240" w:lineRule="auto"/>
      <w:tabs>
        <w:tab w:val="center" w:pos="7143" w:leader="none"/>
        <w:tab w:val="right" w:pos="14287" w:leader="none"/>
      </w:tabs>
    </w:pPr>
  </w:style>
  <w:style w:type="paragraph" w:styleId="733">
    <w:name w:val="Header"/>
    <w:basedOn w:val="708"/>
    <w:link w:val="780"/>
    <w:uiPriority w:val="99"/>
    <w:unhideWhenUsed/>
    <w:qFormat/>
    <w:pPr>
      <w:spacing w:after="0" w:line="240" w:lineRule="auto"/>
      <w:tabs>
        <w:tab w:val="center" w:pos="7143" w:leader="none"/>
        <w:tab w:val="right" w:pos="14287" w:leader="none"/>
      </w:tabs>
    </w:pPr>
  </w:style>
  <w:style w:type="paragraph" w:styleId="734">
    <w:name w:val="toc 1"/>
    <w:basedOn w:val="708"/>
    <w:next w:val="708"/>
    <w:uiPriority w:val="39"/>
    <w:unhideWhenUsed/>
    <w:qFormat/>
    <w:pPr>
      <w:ind w:left="0" w:right="0" w:firstLine="0"/>
      <w:spacing w:after="57"/>
    </w:pPr>
  </w:style>
  <w:style w:type="paragraph" w:styleId="735">
    <w:name w:val="toc 4"/>
    <w:basedOn w:val="708"/>
    <w:next w:val="708"/>
    <w:uiPriority w:val="39"/>
    <w:unhideWhenUsed/>
    <w:qFormat/>
    <w:pPr>
      <w:ind w:left="850" w:right="0" w:firstLine="0"/>
      <w:spacing w:after="57"/>
    </w:pPr>
  </w:style>
  <w:style w:type="paragraph" w:styleId="736">
    <w:name w:val="Subtitle"/>
    <w:basedOn w:val="708"/>
    <w:next w:val="708"/>
    <w:link w:val="775"/>
    <w:uiPriority w:val="11"/>
    <w:qFormat/>
    <w:pPr>
      <w:spacing w:before="200" w:after="200"/>
    </w:pPr>
    <w:rPr>
      <w:sz w:val="24"/>
      <w:szCs w:val="24"/>
    </w:rPr>
  </w:style>
  <w:style w:type="paragraph" w:styleId="737">
    <w:name w:val="footnote text"/>
    <w:basedOn w:val="708"/>
    <w:link w:val="908"/>
    <w:uiPriority w:val="99"/>
    <w:semiHidden/>
    <w:unhideWhenUsed/>
    <w:qFormat/>
    <w:pPr>
      <w:spacing w:after="40" w:line="240" w:lineRule="auto"/>
    </w:pPr>
    <w:rPr>
      <w:sz w:val="18"/>
    </w:rPr>
  </w:style>
  <w:style w:type="paragraph" w:styleId="738">
    <w:name w:val="toc 6"/>
    <w:basedOn w:val="708"/>
    <w:next w:val="708"/>
    <w:uiPriority w:val="39"/>
    <w:unhideWhenUsed/>
    <w:qFormat/>
    <w:pPr>
      <w:ind w:left="1417" w:right="0" w:firstLine="0"/>
      <w:spacing w:after="57"/>
    </w:pPr>
  </w:style>
  <w:style w:type="paragraph" w:styleId="739">
    <w:name w:val="Body Text Indent 3"/>
    <w:basedOn w:val="708"/>
    <w:uiPriority w:val="0"/>
    <w:qFormat/>
    <w:pPr>
      <w:ind w:firstLine="499"/>
    </w:pPr>
    <w:rPr>
      <w:sz w:val="24"/>
    </w:rPr>
  </w:style>
  <w:style w:type="paragraph" w:styleId="740">
    <w:name w:val="table of figures"/>
    <w:basedOn w:val="708"/>
    <w:next w:val="708"/>
    <w:uiPriority w:val="99"/>
    <w:unhideWhenUsed/>
    <w:qFormat/>
    <w:pPr>
      <w:spacing w:after="0" w:afterAutospacing="0"/>
    </w:pPr>
  </w:style>
  <w:style w:type="paragraph" w:styleId="741">
    <w:name w:val="toc 2"/>
    <w:basedOn w:val="708"/>
    <w:next w:val="708"/>
    <w:uiPriority w:val="39"/>
    <w:unhideWhenUsed/>
    <w:qFormat/>
    <w:pPr>
      <w:ind w:left="283" w:right="0" w:firstLine="0"/>
      <w:spacing w:after="57"/>
    </w:pPr>
  </w:style>
  <w:style w:type="paragraph" w:styleId="742">
    <w:name w:val="toc 9"/>
    <w:basedOn w:val="708"/>
    <w:next w:val="708"/>
    <w:uiPriority w:val="39"/>
    <w:unhideWhenUsed/>
    <w:qFormat/>
    <w:pPr>
      <w:ind w:left="2268" w:right="0" w:firstLine="0"/>
      <w:spacing w:after="57"/>
    </w:pPr>
  </w:style>
  <w:style w:type="paragraph" w:styleId="743">
    <w:name w:val="Body Text 2"/>
    <w:basedOn w:val="708"/>
    <w:uiPriority w:val="0"/>
    <w:qFormat/>
    <w:pPr>
      <w:spacing w:after="120" w:line="480" w:lineRule="auto"/>
    </w:pPr>
    <w:rPr>
      <w:szCs w:val="24"/>
    </w:rPr>
  </w:style>
  <w:style w:type="paragraph" w:styleId="744">
    <w:name w:val="Normal (Web)"/>
    <w:basedOn w:val="708"/>
    <w:uiPriority w:val="0"/>
    <w:qFormat/>
    <w:pPr>
      <w:ind w:left="0" w:right="0"/>
      <w:jc w:val="left"/>
      <w:spacing w:before="0" w:beforeAutospacing="1" w:after="0" w:afterAutospacing="1"/>
    </w:pPr>
    <w:rPr>
      <w:sz w:val="24"/>
      <w:lang w:val="en-US" w:eastAsia="zh-CN" w:bidi="ar"/>
    </w:rPr>
  </w:style>
  <w:style w:type="paragraph" w:styleId="745">
    <w:name w:val="Title"/>
    <w:basedOn w:val="708"/>
    <w:next w:val="708"/>
    <w:link w:val="774"/>
    <w:uiPriority w:val="10"/>
    <w:qFormat/>
    <w:pPr>
      <w:contextualSpacing/>
      <w:spacing w:before="300" w:after="200"/>
    </w:pPr>
    <w:rPr>
      <w:sz w:val="48"/>
      <w:szCs w:val="48"/>
    </w:rPr>
  </w:style>
  <w:style w:type="paragraph" w:styleId="746">
    <w:name w:val="Body Text First Indent"/>
    <w:basedOn w:val="724"/>
    <w:uiPriority w:val="0"/>
    <w:qFormat/>
    <w:pPr>
      <w:ind w:firstLine="420"/>
    </w:pPr>
    <w:rPr>
      <w:sz w:val="28"/>
      <w:szCs w:val="24"/>
    </w:rPr>
  </w:style>
  <w:style w:type="paragraph" w:styleId="747">
    <w:name w:val="Body Text First Indent 2"/>
    <w:basedOn w:val="725"/>
    <w:uiPriority w:val="0"/>
    <w:qFormat/>
    <w:pPr>
      <w:ind w:firstLine="420"/>
      <w:spacing w:line="500" w:lineRule="exact"/>
    </w:pPr>
    <w:rPr>
      <w:rFonts w:ascii="Times New Roman" w:hAnsi="Times New Roman" w:eastAsia="宋体" w:cs="Times New Roman"/>
      <w:sz w:val="21"/>
    </w:rPr>
  </w:style>
  <w:style w:type="table" w:styleId="7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uiPriority w:val="99"/>
    <w:semiHidden/>
    <w:unhideWhenUsed/>
    <w:qFormat/>
    <w:rPr>
      <w:vertAlign w:val="superscript"/>
    </w:rPr>
  </w:style>
  <w:style w:type="character" w:styleId="750">
    <w:name w:val="page number"/>
    <w:basedOn w:val="718"/>
    <w:uiPriority w:val="0"/>
    <w:qFormat/>
  </w:style>
  <w:style w:type="character" w:styleId="751">
    <w:name w:val="Hyperlink"/>
    <w:uiPriority w:val="99"/>
    <w:unhideWhenUsed/>
    <w:qFormat/>
    <w:rPr>
      <w:color w:val="0000ff" w:themeColor="hyperlink"/>
      <w:u w:val="single"/>
      <w14:textFill>
        <w14:solidFill>
          <w14:schemeClr w14:val="hlink"/>
        </w14:solidFill>
      </w14:textFill>
    </w:rPr>
  </w:style>
  <w:style w:type="character" w:styleId="752">
    <w:name w:val="annotation reference"/>
    <w:basedOn w:val="718"/>
    <w:uiPriority w:val="0"/>
    <w:qFormat/>
    <w:rPr>
      <w:sz w:val="21"/>
      <w:szCs w:val="21"/>
    </w:rPr>
  </w:style>
  <w:style w:type="character" w:styleId="753">
    <w:name w:val="footnote reference"/>
    <w:uiPriority w:val="99"/>
    <w:unhideWhenUsed/>
    <w:qFormat/>
    <w:rPr>
      <w:vertAlign w:val="superscript"/>
    </w:rPr>
  </w:style>
  <w:style w:type="paragraph" w:styleId="754" w:customStyle="1">
    <w:name w:val="首行缩进"/>
    <w:basedOn w:val="708"/>
    <w:uiPriority w:val="0"/>
    <w:qFormat/>
    <w:pPr>
      <w:ind w:firstLine="480"/>
    </w:pPr>
    <w:rPr>
      <w:lang w:val="zh-CN"/>
    </w:rPr>
  </w:style>
  <w:style w:type="paragraph" w:styleId="755" w:customStyle="1">
    <w:name w:val="引用1"/>
    <w:basedOn w:val="708"/>
    <w:next w:val="708"/>
    <w:uiPriority w:val="99"/>
    <w:qFormat/>
    <w:pPr>
      <w:ind w:left="864" w:right="864"/>
      <w:jc w:val="center"/>
    </w:pPr>
    <w:rPr>
      <w:i/>
      <w:iCs/>
      <w:color w:val="404040"/>
      <w:szCs w:val="21"/>
    </w:rPr>
  </w:style>
  <w:style w:type="paragraph" w:styleId="756" w:customStyle="1">
    <w:name w:val="正文1"/>
    <w:basedOn w:val="721"/>
    <w:uiPriority w:val="0"/>
    <w:qFormat/>
    <w:pPr>
      <w:ind w:firstLine="0"/>
      <w:spacing w:line="500" w:lineRule="exact"/>
    </w:pPr>
    <w:rPr>
      <w:rFonts w:hAnsi="新宋体"/>
      <w:szCs w:val="20"/>
    </w:rPr>
  </w:style>
  <w:style w:type="paragraph" w:styleId="757" w:customStyle="1">
    <w:name w:val="目录 11"/>
    <w:basedOn w:val="758"/>
    <w:next w:val="708"/>
    <w:uiPriority w:val="39"/>
    <w:qFormat/>
    <w:pPr>
      <w:jc w:val="left"/>
      <w:spacing w:before="120" w:after="120" w:line="300" w:lineRule="exact"/>
      <w:tabs>
        <w:tab w:val="right" w:pos="9440" w:leader="dot"/>
      </w:tabs>
    </w:pPr>
    <w:rPr>
      <w:rFonts w:ascii="黑体" w:eastAsia="黑体"/>
      <w:b/>
      <w:caps/>
      <w:sz w:val="18"/>
      <w:szCs w:val="28"/>
    </w:rPr>
  </w:style>
  <w:style w:type="paragraph" w:styleId="758" w:customStyle="1">
    <w:name w:val="正文12"/>
    <w:next w:val="759"/>
    <w:uiPriority w:val="0"/>
    <w:qFormat/>
    <w:pPr>
      <w:ind w:firstLine="723"/>
      <w:jc w:val="both"/>
      <w:spacing w:line="360" w:lineRule="auto"/>
      <w:widowControl w:val="off"/>
    </w:pPr>
    <w:rPr>
      <w:rFonts w:hint="default" w:ascii="Times New Roman" w:hAnsi="Times New Roman" w:eastAsia="宋体" w:cs="Times New Roman"/>
      <w:sz w:val="24"/>
      <w:szCs w:val="24"/>
      <w:lang w:eastAsia="zh-CN"/>
    </w:rPr>
  </w:style>
  <w:style w:type="paragraph" w:styleId="759" w:customStyle="1">
    <w:name w:val="文本块11"/>
    <w:basedOn w:val="708"/>
    <w:uiPriority w:val="6"/>
    <w:qFormat/>
    <w:pPr>
      <w:ind w:left="420" w:right="33"/>
      <w:jc w:val="left"/>
    </w:pPr>
    <w:rPr>
      <w:sz w:val="24"/>
      <w:szCs w:val="20"/>
    </w:rPr>
  </w:style>
  <w:style w:type="paragraph" w:styleId="76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761" w:customStyle="1">
    <w:name w:val="列出段落1"/>
    <w:basedOn w:val="708"/>
    <w:link w:val="978"/>
    <w:uiPriority w:val="0"/>
    <w:qFormat/>
    <w:pPr>
      <w:contextualSpacing/>
      <w:ind w:left="720"/>
      <w:jc w:val="left"/>
      <w:widowControl/>
    </w:pPr>
    <w:rPr>
      <w:rFonts w:ascii="Calibri" w:hAnsi="Calibri"/>
      <w:sz w:val="24"/>
      <w:lang w:eastAsia="en-US" w:bidi="en-US"/>
    </w:rPr>
  </w:style>
  <w:style w:type="paragraph" w:styleId="762" w:customStyle="1">
    <w:name w:val="正文缩进1"/>
    <w:basedOn w:val="708"/>
    <w:link w:val="920"/>
    <w:uiPriority w:val="0"/>
    <w:qFormat/>
    <w:pPr>
      <w:ind w:firstLine="420"/>
    </w:pPr>
    <w:rPr>
      <w:szCs w:val="20"/>
    </w:rPr>
  </w:style>
  <w:style w:type="character" w:styleId="763" w:customStyle="1">
    <w:name w:val="Heading 1 Char"/>
    <w:link w:val="709"/>
    <w:uiPriority w:val="9"/>
    <w:qFormat/>
    <w:rPr>
      <w:rFonts w:ascii="Arial" w:hAnsi="Arial" w:eastAsia="Arial" w:cs="Arial"/>
      <w:sz w:val="40"/>
      <w:szCs w:val="40"/>
    </w:rPr>
  </w:style>
  <w:style w:type="character" w:styleId="764" w:customStyle="1">
    <w:name w:val="Heading 2 Char"/>
    <w:link w:val="710"/>
    <w:uiPriority w:val="9"/>
    <w:qFormat/>
    <w:rPr>
      <w:rFonts w:ascii="Arial" w:hAnsi="Arial" w:eastAsia="Arial" w:cs="Arial"/>
      <w:sz w:val="34"/>
    </w:rPr>
  </w:style>
  <w:style w:type="character" w:styleId="765" w:customStyle="1">
    <w:name w:val="Heading 3 Char"/>
    <w:link w:val="711"/>
    <w:uiPriority w:val="9"/>
    <w:qFormat/>
    <w:rPr>
      <w:rFonts w:ascii="Arial" w:hAnsi="Arial" w:eastAsia="Arial" w:cs="Arial"/>
      <w:sz w:val="30"/>
      <w:szCs w:val="30"/>
    </w:rPr>
  </w:style>
  <w:style w:type="character" w:styleId="766" w:customStyle="1">
    <w:name w:val="Heading 4 Char"/>
    <w:link w:val="712"/>
    <w:uiPriority w:val="9"/>
    <w:qFormat/>
    <w:rPr>
      <w:rFonts w:ascii="Arial" w:hAnsi="Arial" w:eastAsia="Arial" w:cs="Arial"/>
      <w:b/>
      <w:bCs/>
      <w:sz w:val="26"/>
      <w:szCs w:val="26"/>
    </w:rPr>
  </w:style>
  <w:style w:type="character" w:styleId="767" w:customStyle="1">
    <w:name w:val="Heading 5 Char"/>
    <w:link w:val="713"/>
    <w:uiPriority w:val="9"/>
    <w:qFormat/>
    <w:rPr>
      <w:rFonts w:ascii="Arial" w:hAnsi="Arial" w:eastAsia="Arial" w:cs="Arial"/>
      <w:b/>
      <w:bCs/>
      <w:sz w:val="24"/>
      <w:szCs w:val="24"/>
    </w:rPr>
  </w:style>
  <w:style w:type="character" w:styleId="768" w:customStyle="1">
    <w:name w:val="Heading 6 Char"/>
    <w:link w:val="714"/>
    <w:uiPriority w:val="9"/>
    <w:qFormat/>
    <w:rPr>
      <w:rFonts w:ascii="Arial" w:hAnsi="Arial" w:eastAsia="Arial" w:cs="Arial"/>
      <w:b/>
      <w:bCs/>
      <w:sz w:val="22"/>
      <w:szCs w:val="22"/>
    </w:rPr>
  </w:style>
  <w:style w:type="character" w:styleId="769" w:customStyle="1">
    <w:name w:val="Heading 7 Char"/>
    <w:link w:val="715"/>
    <w:uiPriority w:val="9"/>
    <w:qFormat/>
    <w:rPr>
      <w:rFonts w:ascii="Arial" w:hAnsi="Arial" w:eastAsia="Arial" w:cs="Arial"/>
      <w:b/>
      <w:bCs/>
      <w:i/>
      <w:iCs/>
      <w:sz w:val="22"/>
      <w:szCs w:val="22"/>
    </w:rPr>
  </w:style>
  <w:style w:type="character" w:styleId="770" w:customStyle="1">
    <w:name w:val="Heading 8 Char"/>
    <w:link w:val="716"/>
    <w:uiPriority w:val="9"/>
    <w:qFormat/>
    <w:rPr>
      <w:rFonts w:ascii="Arial" w:hAnsi="Arial" w:eastAsia="Arial" w:cs="Arial"/>
      <w:i/>
      <w:iCs/>
      <w:sz w:val="22"/>
      <w:szCs w:val="22"/>
    </w:rPr>
  </w:style>
  <w:style w:type="character" w:styleId="771" w:customStyle="1">
    <w:name w:val="Heading 9 Char"/>
    <w:link w:val="717"/>
    <w:uiPriority w:val="9"/>
    <w:qFormat/>
    <w:rPr>
      <w:rFonts w:ascii="Arial" w:hAnsi="Arial" w:eastAsia="Arial" w:cs="Arial"/>
      <w:i/>
      <w:iCs/>
      <w:sz w:val="21"/>
      <w:szCs w:val="21"/>
    </w:rPr>
  </w:style>
  <w:style w:type="paragraph" w:styleId="772">
    <w:name w:val="List Paragraph"/>
    <w:basedOn w:val="708"/>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Title Char"/>
    <w:link w:val="745"/>
    <w:uiPriority w:val="10"/>
    <w:qFormat/>
    <w:rPr>
      <w:sz w:val="48"/>
      <w:szCs w:val="48"/>
    </w:rPr>
  </w:style>
  <w:style w:type="character" w:styleId="775" w:customStyle="1">
    <w:name w:val="Subtitle Char"/>
    <w:link w:val="736"/>
    <w:uiPriority w:val="11"/>
    <w:qFormat/>
    <w:rPr>
      <w:sz w:val="24"/>
      <w:szCs w:val="24"/>
    </w:rPr>
  </w:style>
  <w:style w:type="paragraph" w:styleId="776">
    <w:name w:val="Quote"/>
    <w:basedOn w:val="708"/>
    <w:next w:val="708"/>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08"/>
    <w:next w:val="708"/>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link w:val="733"/>
    <w:uiPriority w:val="99"/>
    <w:qFormat/>
  </w:style>
  <w:style w:type="character" w:styleId="781" w:customStyle="1">
    <w:name w:val="Footer Char"/>
    <w:link w:val="732"/>
    <w:uiPriority w:val="99"/>
    <w:qFormat/>
  </w:style>
  <w:style w:type="character" w:styleId="782" w:customStyle="1">
    <w:name w:val="Caption Char"/>
    <w:link w:val="732"/>
    <w:uiPriority w:val="99"/>
    <w:qFormat/>
  </w:style>
  <w:style w:type="table" w:styleId="7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link w:val="737"/>
    <w:uiPriority w:val="99"/>
    <w:qFormat/>
    <w:rPr>
      <w:sz w:val="18"/>
    </w:rPr>
  </w:style>
  <w:style w:type="character" w:styleId="909" w:customStyle="1">
    <w:name w:val="Endnote Text Char"/>
    <w:link w:val="731"/>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标题 11"/>
    <w:basedOn w:val="708"/>
    <w:next w:val="708"/>
    <w:link w:val="918"/>
    <w:uiPriority w:val="0"/>
    <w:qFormat/>
    <w:pPr>
      <w:keepNext/>
      <w:outlineLvl w:val="0"/>
    </w:pPr>
    <w:rPr>
      <w:rFonts w:ascii="楷体_GB2312" w:eastAsia="楷体_GB2312"/>
      <w:sz w:val="28"/>
      <w:szCs w:val="20"/>
    </w:rPr>
  </w:style>
  <w:style w:type="paragraph" w:styleId="912" w:customStyle="1">
    <w:name w:val="标题 21"/>
    <w:basedOn w:val="708"/>
    <w:next w:val="708"/>
    <w:uiPriority w:val="0"/>
    <w:qFormat/>
    <w:pPr>
      <w:jc w:val="center"/>
      <w:keepLines/>
      <w:keepNext/>
      <w:spacing w:before="260" w:after="260" w:line="416" w:lineRule="auto"/>
      <w:outlineLvl w:val="1"/>
    </w:pPr>
    <w:rPr>
      <w:rFonts w:ascii="Arial" w:hAnsi="Arial" w:eastAsia="幼圆"/>
      <w:b/>
      <w:sz w:val="44"/>
      <w:szCs w:val="20"/>
    </w:rPr>
  </w:style>
  <w:style w:type="paragraph" w:styleId="913" w:customStyle="1">
    <w:name w:val="标题 31"/>
    <w:basedOn w:val="708"/>
    <w:next w:val="708"/>
    <w:uiPriority w:val="0"/>
    <w:qFormat/>
    <w:pPr>
      <w:keepLines/>
      <w:keepNext/>
      <w:spacing w:before="260" w:after="260" w:line="416" w:lineRule="auto"/>
      <w:outlineLvl w:val="2"/>
    </w:pPr>
    <w:rPr>
      <w:b/>
      <w:sz w:val="32"/>
      <w:szCs w:val="20"/>
    </w:rPr>
  </w:style>
  <w:style w:type="paragraph" w:styleId="914" w:customStyle="1">
    <w:name w:val="标题 41"/>
    <w:basedOn w:val="708"/>
    <w:next w:val="708"/>
    <w:uiPriority w:val="0"/>
    <w:qFormat/>
    <w:pPr>
      <w:keepLines/>
      <w:keepNext/>
      <w:spacing w:before="280" w:after="290" w:line="376" w:lineRule="auto"/>
      <w:outlineLvl w:val="3"/>
    </w:pPr>
    <w:rPr>
      <w:rFonts w:ascii="Arial" w:hAnsi="Arial" w:eastAsia="黑体"/>
      <w:b/>
      <w:bCs/>
      <w:sz w:val="28"/>
      <w:szCs w:val="28"/>
    </w:rPr>
  </w:style>
  <w:style w:type="paragraph" w:styleId="915" w:customStyle="1">
    <w:name w:val="标题 51"/>
    <w:basedOn w:val="708"/>
    <w:next w:val="708"/>
    <w:uiPriority w:val="0"/>
    <w:qFormat/>
    <w:pPr>
      <w:keepNext/>
      <w:outlineLvl w:val="4"/>
    </w:pPr>
    <w:rPr>
      <w:rFonts w:ascii="宋体" w:hAnsi="宋体"/>
      <w:b/>
      <w:bCs/>
    </w:rPr>
  </w:style>
  <w:style w:type="character" w:styleId="916" w:customStyle="1">
    <w:name w:val="默认段落字体1"/>
    <w:link w:val="708"/>
    <w:uiPriority w:val="0"/>
    <w:semiHidden/>
    <w:qFormat/>
  </w:style>
  <w:style w:type="table" w:styleId="917" w:customStyle="1">
    <w:name w:val="普通表格1"/>
    <w:uiPriority w:val="0"/>
    <w:semiHidden/>
    <w:qFormat/>
    <w:tblPr/>
  </w:style>
  <w:style w:type="character" w:styleId="918" w:customStyle="1">
    <w:name w:val="标题 1 Char"/>
    <w:link w:val="911"/>
    <w:uiPriority w:val="0"/>
    <w:qFormat/>
    <w:rPr>
      <w:rFonts w:ascii="楷体_GB2312" w:eastAsia="楷体_GB2312"/>
      <w:sz w:val="28"/>
      <w:lang w:val="en-US" w:eastAsia="zh-CN" w:bidi="ar-SA"/>
    </w:rPr>
  </w:style>
  <w:style w:type="paragraph" w:styleId="919" w:customStyle="1">
    <w:name w:val="目录 71"/>
    <w:basedOn w:val="708"/>
    <w:next w:val="708"/>
    <w:uiPriority w:val="0"/>
    <w:semiHidden/>
    <w:qFormat/>
    <w:pPr>
      <w:ind w:left="2520"/>
    </w:pPr>
  </w:style>
  <w:style w:type="character" w:styleId="920" w:customStyle="1">
    <w:name w:val="正文缩进 Char"/>
    <w:link w:val="762"/>
    <w:uiPriority w:val="0"/>
    <w:qFormat/>
    <w:rPr>
      <w:rFonts w:eastAsia="宋体"/>
      <w:sz w:val="21"/>
      <w:lang w:val="en-US" w:eastAsia="zh-CN" w:bidi="ar-SA"/>
    </w:rPr>
  </w:style>
  <w:style w:type="paragraph" w:styleId="921" w:customStyle="1">
    <w:name w:val="文档结构图1"/>
    <w:basedOn w:val="708"/>
    <w:uiPriority w:val="0"/>
    <w:semiHidden/>
    <w:qFormat/>
    <w:pPr>
      <w:shd w:val="clear" w:color="auto" w:fill="000080"/>
    </w:pPr>
  </w:style>
  <w:style w:type="paragraph" w:styleId="922" w:customStyle="1">
    <w:name w:val="批注文字1"/>
    <w:basedOn w:val="708"/>
    <w:link w:val="923"/>
    <w:uiPriority w:val="0"/>
    <w:qFormat/>
    <w:pPr>
      <w:jc w:val="left"/>
    </w:pPr>
  </w:style>
  <w:style w:type="character" w:styleId="923" w:customStyle="1">
    <w:name w:val="批注文字 Char"/>
    <w:link w:val="922"/>
    <w:uiPriority w:val="0"/>
    <w:qFormat/>
    <w:rPr>
      <w:sz w:val="21"/>
      <w:szCs w:val="24"/>
    </w:rPr>
  </w:style>
  <w:style w:type="paragraph" w:styleId="924" w:customStyle="1">
    <w:name w:val="正文文本 31"/>
    <w:basedOn w:val="708"/>
    <w:uiPriority w:val="0"/>
    <w:qFormat/>
    <w:rPr>
      <w:rFonts w:ascii="仿宋_GB2312" w:hAnsi="Arial" w:eastAsia="仿宋_GB2312"/>
      <w:sz w:val="32"/>
      <w:szCs w:val="20"/>
    </w:rPr>
  </w:style>
  <w:style w:type="paragraph" w:styleId="925" w:customStyle="1">
    <w:name w:val="正文文本1"/>
    <w:basedOn w:val="708"/>
    <w:next w:val="708"/>
    <w:uiPriority w:val="0"/>
    <w:qFormat/>
    <w:rPr>
      <w:rFonts w:ascii="楷体_GB2312" w:hAnsi="Arial" w:eastAsia="楷体_GB2312"/>
      <w:sz w:val="28"/>
      <w:szCs w:val="20"/>
    </w:rPr>
  </w:style>
  <w:style w:type="paragraph" w:styleId="926" w:customStyle="1">
    <w:name w:val="正文文本缩进1"/>
    <w:basedOn w:val="708"/>
    <w:next w:val="927"/>
    <w:uiPriority w:val="0"/>
    <w:qFormat/>
    <w:pPr>
      <w:ind w:firstLine="645"/>
    </w:pPr>
    <w:rPr>
      <w:rFonts w:ascii="楷体_GB2312" w:eastAsia="楷体_GB2312"/>
      <w:sz w:val="32"/>
      <w:szCs w:val="20"/>
    </w:rPr>
  </w:style>
  <w:style w:type="paragraph" w:styleId="927" w:customStyle="1">
    <w:name w:val="寄信人地址1"/>
    <w:basedOn w:val="708"/>
    <w:uiPriority w:val="99"/>
    <w:qFormat/>
    <w:rPr>
      <w:rFonts w:ascii="Arial" w:hAnsi="Arial"/>
    </w:rPr>
  </w:style>
  <w:style w:type="paragraph" w:styleId="928" w:customStyle="1">
    <w:name w:val="文本块1"/>
    <w:basedOn w:val="708"/>
    <w:uiPriority w:val="0"/>
    <w:qFormat/>
    <w:pPr>
      <w:ind w:left="1440" w:right="1440" w:firstLine="480"/>
      <w:jc w:val="left"/>
      <w:spacing w:before="100" w:beforeAutospacing="1" w:after="100" w:afterAutospacing="1" w:line="360" w:lineRule="auto"/>
      <w:widowControl/>
    </w:pPr>
    <w:rPr>
      <w:rFonts w:ascii="宋体" w:hAnsi="宋体"/>
      <w:sz w:val="24"/>
      <w:szCs w:val="24"/>
    </w:rPr>
  </w:style>
  <w:style w:type="paragraph" w:styleId="929" w:customStyle="1">
    <w:name w:val="目录 51"/>
    <w:basedOn w:val="708"/>
    <w:next w:val="708"/>
    <w:uiPriority w:val="0"/>
    <w:semiHidden/>
    <w:qFormat/>
    <w:pPr>
      <w:ind w:left="1680"/>
    </w:pPr>
  </w:style>
  <w:style w:type="paragraph" w:styleId="930" w:customStyle="1">
    <w:name w:val="目录 31"/>
    <w:basedOn w:val="708"/>
    <w:next w:val="708"/>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931" w:customStyle="1">
    <w:name w:val="纯文本1"/>
    <w:basedOn w:val="708"/>
    <w:link w:val="932"/>
    <w:uiPriority w:val="0"/>
    <w:qFormat/>
    <w:rPr>
      <w:rFonts w:ascii="宋体" w:hAnsi="Courier New"/>
      <w:szCs w:val="20"/>
    </w:rPr>
  </w:style>
  <w:style w:type="character" w:styleId="932" w:customStyle="1">
    <w:name w:val="纯文本 Char"/>
    <w:link w:val="931"/>
    <w:uiPriority w:val="0"/>
    <w:qFormat/>
    <w:rPr>
      <w:rFonts w:ascii="宋体" w:hAnsi="Courier New"/>
      <w:sz w:val="21"/>
    </w:rPr>
  </w:style>
  <w:style w:type="paragraph" w:styleId="933" w:customStyle="1">
    <w:name w:val="目录 81"/>
    <w:basedOn w:val="708"/>
    <w:next w:val="708"/>
    <w:uiPriority w:val="0"/>
    <w:semiHidden/>
    <w:qFormat/>
    <w:pPr>
      <w:ind w:left="2940"/>
    </w:pPr>
  </w:style>
  <w:style w:type="paragraph" w:styleId="934" w:customStyle="1">
    <w:name w:val="日期1"/>
    <w:basedOn w:val="708"/>
    <w:next w:val="708"/>
    <w:uiPriority w:val="0"/>
    <w:qFormat/>
    <w:rPr>
      <w:sz w:val="24"/>
      <w:szCs w:val="20"/>
    </w:rPr>
  </w:style>
  <w:style w:type="paragraph" w:styleId="935" w:customStyle="1">
    <w:name w:val="正文文本缩进 21"/>
    <w:basedOn w:val="708"/>
    <w:uiPriority w:val="0"/>
    <w:qFormat/>
    <w:pPr>
      <w:ind w:firstLine="560"/>
    </w:pPr>
    <w:rPr>
      <w:rFonts w:ascii="宋体" w:hAnsi="宋体"/>
      <w:sz w:val="28"/>
    </w:rPr>
  </w:style>
  <w:style w:type="paragraph" w:styleId="936" w:customStyle="1">
    <w:name w:val="批注框文本1"/>
    <w:basedOn w:val="708"/>
    <w:uiPriority w:val="0"/>
    <w:semiHidden/>
    <w:qFormat/>
    <w:rPr>
      <w:sz w:val="18"/>
      <w:szCs w:val="18"/>
    </w:rPr>
  </w:style>
  <w:style w:type="paragraph" w:styleId="937" w:customStyle="1">
    <w:name w:val="页脚1"/>
    <w:basedOn w:val="708"/>
    <w:uiPriority w:val="0"/>
    <w:qFormat/>
    <w:pPr>
      <w:jc w:val="left"/>
      <w:tabs>
        <w:tab w:val="center" w:pos="4153" w:leader="none"/>
        <w:tab w:val="right" w:pos="8306" w:leader="none"/>
      </w:tabs>
    </w:pPr>
    <w:rPr>
      <w:sz w:val="18"/>
      <w:szCs w:val="20"/>
    </w:rPr>
  </w:style>
  <w:style w:type="paragraph" w:styleId="938" w:customStyle="1">
    <w:name w:val="页眉1"/>
    <w:basedOn w:val="708"/>
    <w:next w:val="939"/>
    <w:uiPriority w:val="0"/>
    <w:qFormat/>
    <w:pPr>
      <w:jc w:val="center"/>
      <w:tabs>
        <w:tab w:val="center" w:pos="4153" w:leader="none"/>
        <w:tab w:val="right" w:pos="8306" w:leader="none"/>
      </w:tabs>
      <w:pBdr>
        <w:bottom w:val="single" w:color="000000" w:sz="6" w:space="1"/>
      </w:pBdr>
    </w:pPr>
    <w:rPr>
      <w:sz w:val="18"/>
      <w:szCs w:val="18"/>
    </w:rPr>
  </w:style>
  <w:style w:type="paragraph" w:styleId="939" w:customStyle="1">
    <w:name w:val="Quote1"/>
    <w:basedOn w:val="708"/>
    <w:next w:val="708"/>
    <w:uiPriority w:val="99"/>
    <w:qFormat/>
    <w:pPr>
      <w:ind w:left="864" w:right="864"/>
      <w:jc w:val="center"/>
      <w:spacing w:before="200" w:after="160"/>
      <w:widowControl/>
    </w:pPr>
    <w:rPr>
      <w:rFonts w:ascii="宋体"/>
      <w:i/>
      <w:color w:val="404040"/>
    </w:rPr>
  </w:style>
  <w:style w:type="paragraph" w:styleId="940" w:customStyle="1">
    <w:name w:val="目录 41"/>
    <w:basedOn w:val="708"/>
    <w:next w:val="708"/>
    <w:uiPriority w:val="0"/>
    <w:semiHidden/>
    <w:qFormat/>
    <w:pPr>
      <w:ind w:left="1260"/>
    </w:pPr>
  </w:style>
  <w:style w:type="paragraph" w:styleId="941" w:customStyle="1">
    <w:name w:val="副标题1"/>
    <w:basedOn w:val="708"/>
    <w:next w:val="708"/>
    <w:link w:val="942"/>
    <w:uiPriority w:val="0"/>
    <w:qFormat/>
    <w:pPr>
      <w:jc w:val="center"/>
      <w:spacing w:before="240" w:after="60" w:line="312" w:lineRule="auto"/>
      <w:outlineLvl w:val="1"/>
    </w:pPr>
    <w:rPr>
      <w:rFonts w:ascii="Cambria" w:hAnsi="Cambria"/>
      <w:b/>
      <w:bCs/>
      <w:sz w:val="32"/>
      <w:szCs w:val="32"/>
    </w:rPr>
  </w:style>
  <w:style w:type="character" w:styleId="942" w:customStyle="1">
    <w:name w:val="副标题 Char"/>
    <w:basedOn w:val="916"/>
    <w:link w:val="941"/>
    <w:uiPriority w:val="0"/>
    <w:qFormat/>
    <w:rPr>
      <w:rFonts w:ascii="Cambria" w:hAnsi="Cambria"/>
      <w:b/>
      <w:bCs/>
      <w:sz w:val="32"/>
      <w:szCs w:val="32"/>
    </w:rPr>
  </w:style>
  <w:style w:type="paragraph" w:styleId="943" w:customStyle="1">
    <w:name w:val="目录 61"/>
    <w:basedOn w:val="708"/>
    <w:next w:val="708"/>
    <w:uiPriority w:val="0"/>
    <w:semiHidden/>
    <w:qFormat/>
    <w:pPr>
      <w:ind w:left="2100"/>
    </w:pPr>
  </w:style>
  <w:style w:type="paragraph" w:styleId="944" w:customStyle="1">
    <w:name w:val="正文文本缩进 31"/>
    <w:basedOn w:val="708"/>
    <w:uiPriority w:val="0"/>
    <w:qFormat/>
    <w:pPr>
      <w:ind w:firstLine="523"/>
    </w:pPr>
    <w:rPr>
      <w:rFonts w:ascii="仿宋_GB2312" w:hAnsi="宋体" w:eastAsia="仿宋_GB2312"/>
      <w:sz w:val="24"/>
    </w:rPr>
  </w:style>
  <w:style w:type="paragraph" w:styleId="945" w:customStyle="1">
    <w:name w:val="目录 21"/>
    <w:basedOn w:val="708"/>
    <w:next w:val="708"/>
    <w:uiPriority w:val="39"/>
    <w:qFormat/>
    <w:pPr>
      <w:jc w:val="left"/>
      <w:spacing w:line="260" w:lineRule="exact"/>
      <w:tabs>
        <w:tab w:val="right" w:pos="9440" w:leader="dot"/>
      </w:tabs>
    </w:pPr>
    <w:rPr>
      <w:rFonts w:ascii="黑体" w:eastAsia="黑体"/>
      <w:b/>
      <w:bCs/>
      <w:smallCaps/>
      <w:sz w:val="18"/>
      <w:szCs w:val="44"/>
    </w:rPr>
  </w:style>
  <w:style w:type="paragraph" w:styleId="946" w:customStyle="1">
    <w:name w:val="目录 91"/>
    <w:basedOn w:val="708"/>
    <w:next w:val="708"/>
    <w:uiPriority w:val="0"/>
    <w:semiHidden/>
    <w:qFormat/>
    <w:pPr>
      <w:ind w:left="3360"/>
    </w:pPr>
  </w:style>
  <w:style w:type="paragraph" w:styleId="947" w:customStyle="1">
    <w:name w:val="正文文本 21"/>
    <w:basedOn w:val="708"/>
    <w:uiPriority w:val="0"/>
    <w:qFormat/>
    <w:pPr>
      <w:jc w:val="center"/>
    </w:pPr>
    <w:rPr>
      <w:rFonts w:ascii="仿宋_GB2312" w:eastAsia="仿宋_GB2312"/>
      <w:sz w:val="44"/>
    </w:rPr>
  </w:style>
  <w:style w:type="paragraph" w:styleId="948" w:customStyle="1">
    <w:name w:val="信息标题1"/>
    <w:basedOn w:val="708"/>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49" w:customStyle="1">
    <w:name w:val="HTML 预设格式1"/>
    <w:basedOn w:val="708"/>
    <w:link w:val="95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50" w:customStyle="1">
    <w:name w:val="HTML 预设格式 Char"/>
    <w:link w:val="949"/>
    <w:uiPriority w:val="0"/>
    <w:qFormat/>
    <w:rPr>
      <w:rFonts w:ascii="黑体" w:hAnsi="Courier New" w:eastAsia="黑体" w:cs="Courier New"/>
    </w:rPr>
  </w:style>
  <w:style w:type="paragraph" w:styleId="951" w:customStyle="1">
    <w:name w:val="普通(网站)1"/>
    <w:basedOn w:val="708"/>
    <w:uiPriority w:val="0"/>
    <w:unhideWhenUsed/>
    <w:qFormat/>
    <w:pPr>
      <w:jc w:val="left"/>
      <w:spacing w:before="100" w:beforeAutospacing="1" w:after="100" w:afterAutospacing="1"/>
      <w:widowControl/>
    </w:pPr>
    <w:rPr>
      <w:rFonts w:ascii="宋体" w:hAnsi="宋体" w:cs="宋体"/>
      <w:sz w:val="24"/>
    </w:rPr>
  </w:style>
  <w:style w:type="paragraph" w:styleId="952" w:customStyle="1">
    <w:name w:val="索引 11"/>
    <w:basedOn w:val="708"/>
    <w:next w:val="708"/>
    <w:uiPriority w:val="0"/>
    <w:semiHidden/>
    <w:qFormat/>
    <w:rPr>
      <w:rFonts w:ascii="宋体" w:hAnsi="宋体"/>
      <w:szCs w:val="18"/>
    </w:rPr>
  </w:style>
  <w:style w:type="paragraph" w:styleId="953" w:customStyle="1">
    <w:name w:val="批注主题1"/>
    <w:basedOn w:val="922"/>
    <w:next w:val="922"/>
    <w:link w:val="954"/>
    <w:uiPriority w:val="0"/>
    <w:qFormat/>
    <w:rPr>
      <w:b/>
      <w:bCs/>
    </w:rPr>
  </w:style>
  <w:style w:type="character" w:styleId="954" w:customStyle="1">
    <w:name w:val="批注主题 Char"/>
    <w:link w:val="953"/>
    <w:uiPriority w:val="0"/>
    <w:qFormat/>
    <w:rPr>
      <w:b/>
      <w:bCs/>
      <w:sz w:val="21"/>
      <w:szCs w:val="24"/>
    </w:rPr>
  </w:style>
  <w:style w:type="paragraph" w:styleId="955" w:customStyle="1">
    <w:name w:val="正文首行缩进1"/>
    <w:basedOn w:val="925"/>
    <w:next w:val="943"/>
    <w:uiPriority w:val="99"/>
    <w:unhideWhenUsed/>
    <w:qFormat/>
    <w:pPr>
      <w:ind w:firstLine="420"/>
    </w:pPr>
  </w:style>
  <w:style w:type="table" w:styleId="956" w:customStyle="1">
    <w:name w:val="网格型1"/>
    <w:basedOn w:val="917"/>
    <w:uiPriority w:val="0"/>
    <w:qFormat/>
    <w:pPr>
      <w:jc w:val="both"/>
      <w:widowControl w:val="off"/>
    </w:pPr>
    <w:tblPr/>
  </w:style>
  <w:style w:type="character" w:styleId="957" w:customStyle="1">
    <w:name w:val="要点1"/>
    <w:basedOn w:val="916"/>
    <w:link w:val="708"/>
    <w:uiPriority w:val="0"/>
    <w:qFormat/>
    <w:rPr>
      <w:b/>
      <w:bCs/>
    </w:rPr>
  </w:style>
  <w:style w:type="character" w:styleId="958" w:customStyle="1">
    <w:name w:val="页码1"/>
    <w:basedOn w:val="916"/>
    <w:link w:val="708"/>
    <w:uiPriority w:val="0"/>
    <w:qFormat/>
  </w:style>
  <w:style w:type="character" w:styleId="959" w:customStyle="1">
    <w:name w:val="已访问的超链接1"/>
    <w:basedOn w:val="916"/>
    <w:link w:val="708"/>
    <w:uiPriority w:val="0"/>
    <w:qFormat/>
    <w:rPr>
      <w:color w:val="800080"/>
      <w:u w:val="none"/>
    </w:rPr>
  </w:style>
  <w:style w:type="character" w:styleId="960" w:customStyle="1">
    <w:name w:val="HTML 定义1"/>
    <w:basedOn w:val="916"/>
    <w:link w:val="708"/>
    <w:uiPriority w:val="0"/>
    <w:qFormat/>
  </w:style>
  <w:style w:type="character" w:styleId="961" w:customStyle="1">
    <w:name w:val="HTML 打字机1"/>
    <w:basedOn w:val="916"/>
    <w:link w:val="708"/>
    <w:uiPriority w:val="0"/>
    <w:qFormat/>
    <w:rPr>
      <w:rFonts w:ascii="monospace" w:hAnsi="monospace" w:eastAsia="monospace" w:cs="monospace"/>
      <w:sz w:val="20"/>
    </w:rPr>
  </w:style>
  <w:style w:type="character" w:styleId="962" w:customStyle="1">
    <w:name w:val="HTML 缩写1"/>
    <w:basedOn w:val="916"/>
    <w:link w:val="708"/>
    <w:uiPriority w:val="0"/>
    <w:qFormat/>
  </w:style>
  <w:style w:type="character" w:styleId="963" w:customStyle="1">
    <w:name w:val="HTML 变量1"/>
    <w:basedOn w:val="916"/>
    <w:link w:val="708"/>
    <w:uiPriority w:val="0"/>
    <w:qFormat/>
  </w:style>
  <w:style w:type="character" w:styleId="964" w:customStyle="1">
    <w:name w:val="超链接1"/>
    <w:basedOn w:val="916"/>
    <w:link w:val="708"/>
    <w:uiPriority w:val="99"/>
    <w:qFormat/>
    <w:rPr>
      <w:color w:val="0000ff"/>
      <w:u w:val="none"/>
    </w:rPr>
  </w:style>
  <w:style w:type="character" w:styleId="965" w:customStyle="1">
    <w:name w:val="HTML 代码1"/>
    <w:basedOn w:val="916"/>
    <w:link w:val="708"/>
    <w:uiPriority w:val="0"/>
    <w:qFormat/>
    <w:rPr>
      <w:rFonts w:ascii="monospace" w:hAnsi="monospace" w:eastAsia="monospace" w:cs="monospace"/>
      <w:sz w:val="20"/>
    </w:rPr>
  </w:style>
  <w:style w:type="character" w:styleId="966" w:customStyle="1">
    <w:name w:val="批注引用1"/>
    <w:link w:val="708"/>
    <w:uiPriority w:val="0"/>
    <w:qFormat/>
    <w:rPr>
      <w:sz w:val="21"/>
      <w:szCs w:val="21"/>
    </w:rPr>
  </w:style>
  <w:style w:type="character" w:styleId="967" w:customStyle="1">
    <w:name w:val="HTML 引文1"/>
    <w:basedOn w:val="916"/>
    <w:link w:val="708"/>
    <w:uiPriority w:val="0"/>
    <w:qFormat/>
  </w:style>
  <w:style w:type="character" w:styleId="968" w:customStyle="1">
    <w:name w:val="HTML 键盘1"/>
    <w:basedOn w:val="916"/>
    <w:link w:val="708"/>
    <w:uiPriority w:val="0"/>
    <w:qFormat/>
    <w:rPr>
      <w:rFonts w:ascii="monospace" w:hAnsi="monospace" w:eastAsia="monospace" w:cs="monospace"/>
      <w:sz w:val="20"/>
    </w:rPr>
  </w:style>
  <w:style w:type="character" w:styleId="969" w:customStyle="1">
    <w:name w:val="HTML 样本1"/>
    <w:basedOn w:val="916"/>
    <w:link w:val="708"/>
    <w:uiPriority w:val="0"/>
    <w:qFormat/>
    <w:rPr>
      <w:rFonts w:ascii="monospace" w:hAnsi="monospace" w:eastAsia="monospace" w:cs="monospace"/>
    </w:rPr>
  </w:style>
  <w:style w:type="paragraph" w:styleId="970" w:customStyle="1">
    <w:name w:val="正文文字 6"/>
    <w:next w:val="708"/>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971" w:customStyle="1">
    <w:name w:val="hover2"/>
    <w:basedOn w:val="916"/>
    <w:link w:val="708"/>
    <w:uiPriority w:val="0"/>
    <w:qFormat/>
    <w:rPr>
      <w:color w:val="ffffff"/>
    </w:rPr>
  </w:style>
  <w:style w:type="character" w:styleId="972" w:customStyle="1">
    <w:name w:val="NormalCharacter1"/>
    <w:link w:val="708"/>
    <w:uiPriority w:val="0"/>
    <w:qFormat/>
  </w:style>
  <w:style w:type="character" w:styleId="973" w:customStyle="1">
    <w:name w:val="MSG_EN_FONT_STYLE_NAME_TEMPLATE_ROLE_NUMBER MSG_EN_FONT_STYLE_NAME_BY_ROLE_TEXT 2 + MSG_EN_FONT_STYLE_MODIFER_SIZE 8"/>
    <w:link w:val="708"/>
    <w:uiPriority w:val="99"/>
    <w:qFormat/>
    <w:rPr>
      <w:rFonts w:hint="eastAsia" w:ascii="PMingLiU" w:hAnsi="PMingLiU" w:eastAsia="PMingLiU" w:cs="PMingLiU"/>
      <w:spacing w:val="10"/>
      <w:sz w:val="16"/>
      <w:szCs w:val="16"/>
      <w:u w:val="none"/>
    </w:rPr>
  </w:style>
  <w:style w:type="character" w:styleId="974" w:customStyle="1">
    <w:name w:val="hover"/>
    <w:basedOn w:val="916"/>
    <w:link w:val="708"/>
    <w:uiPriority w:val="0"/>
    <w:qFormat/>
    <w:rPr>
      <w:color w:val="5fb878"/>
    </w:rPr>
  </w:style>
  <w:style w:type="character" w:styleId="975" w:customStyle="1">
    <w:name w:val="标题2 Char"/>
    <w:link w:val="708"/>
    <w:uiPriority w:val="0"/>
    <w:qFormat/>
    <w:rPr>
      <w:rFonts w:ascii="方正楷体_GBK" w:hAnsi="Book Antiqua" w:eastAsia="方正楷体_GBK"/>
      <w:sz w:val="32"/>
      <w:lang w:val="en-US" w:eastAsia="zh-CN" w:bidi="ar-SA"/>
    </w:rPr>
  </w:style>
  <w:style w:type="character" w:styleId="976" w:customStyle="1">
    <w:name w:val="hover1"/>
    <w:basedOn w:val="916"/>
    <w:link w:val="708"/>
    <w:uiPriority w:val="0"/>
    <w:qFormat/>
    <w:rPr>
      <w:color w:val="5fb878"/>
    </w:rPr>
  </w:style>
  <w:style w:type="character" w:styleId="977" w:customStyle="1">
    <w:name w:val="MSG_EN_FONT_STYLE_NAME_TEMPLATE_ROLE_NUMBER MSG_EN_FONT_STYLE_NAME_BY_ROLE_TEXT 2 + MSG_EN_FONT_STYLE_MODIFER_NAME PMingLiU"/>
    <w:link w:val="708"/>
    <w:uiPriority w:val="99"/>
    <w:qFormat/>
    <w:rPr>
      <w:rFonts w:hint="eastAsia" w:ascii="PMingLiU" w:hAnsi="PMingLiU" w:eastAsia="PMingLiU" w:cs="PMingLiU"/>
      <w:spacing w:val="30"/>
      <w:sz w:val="17"/>
      <w:szCs w:val="17"/>
      <w:u w:val="none"/>
    </w:rPr>
  </w:style>
  <w:style w:type="character" w:styleId="978" w:customStyle="1">
    <w:name w:val="列出段落 Char"/>
    <w:link w:val="761"/>
    <w:uiPriority w:val="0"/>
    <w:qFormat/>
    <w:rPr>
      <w:rFonts w:ascii="Calibri" w:hAnsi="Calibri"/>
      <w:sz w:val="24"/>
      <w:szCs w:val="24"/>
      <w:lang w:eastAsia="en-US" w:bidi="en-US"/>
    </w:rPr>
  </w:style>
  <w:style w:type="character" w:styleId="979" w:customStyle="1">
    <w:name w:val="jj1"/>
    <w:link w:val="708"/>
    <w:uiPriority w:val="0"/>
    <w:qFormat/>
    <w:rPr>
      <w:sz w:val="20"/>
      <w:szCs w:val="20"/>
      <w:u w:val="none"/>
    </w:rPr>
  </w:style>
  <w:style w:type="paragraph" w:styleId="980" w:customStyle="1">
    <w:name w:val="标题2"/>
    <w:basedOn w:val="708"/>
    <w:next w:val="708"/>
    <w:uiPriority w:val="0"/>
    <w:qFormat/>
    <w:pPr>
      <w:jc w:val="center"/>
    </w:pPr>
    <w:rPr>
      <w:rFonts w:eastAsia="方正楷体_GBK"/>
    </w:rPr>
  </w:style>
  <w:style w:type="paragraph" w:styleId="981" w:customStyle="1">
    <w:name w:val="Blockquote"/>
    <w:basedOn w:val="708"/>
    <w:uiPriority w:val="0"/>
    <w:qFormat/>
    <w:pPr>
      <w:ind w:left="360" w:right="360"/>
      <w:jc w:val="left"/>
      <w:spacing w:before="100" w:after="100"/>
    </w:pPr>
    <w:rPr>
      <w:sz w:val="24"/>
      <w:szCs w:val="20"/>
    </w:rPr>
  </w:style>
  <w:style w:type="paragraph" w:styleId="982" w:customStyle="1">
    <w:name w:val=" Char Char Char Char1 Char Char"/>
    <w:basedOn w:val="708"/>
    <w:uiPriority w:val="0"/>
    <w:qFormat/>
    <w:pPr>
      <w:tabs>
        <w:tab w:val="left" w:pos="360" w:leader="none"/>
      </w:tabs>
    </w:pPr>
    <w:rPr>
      <w:sz w:val="24"/>
    </w:rPr>
  </w:style>
  <w:style w:type="paragraph" w:styleId="983" w:customStyle="1">
    <w:name w:val="TOC 标题"/>
    <w:basedOn w:val="911"/>
    <w:next w:val="708"/>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984" w:customStyle="1">
    <w:name w:val="普通正文"/>
    <w:basedOn w:val="708"/>
    <w:uiPriority w:val="0"/>
    <w:qFormat/>
    <w:pPr>
      <w:ind w:firstLine="480"/>
      <w:jc w:val="left"/>
      <w:spacing w:before="120" w:after="120" w:line="360" w:lineRule="auto"/>
    </w:pPr>
    <w:rPr>
      <w:rFonts w:ascii="Arial" w:hAnsi="Arial"/>
      <w:sz w:val="24"/>
    </w:rPr>
  </w:style>
  <w:style w:type="paragraph" w:styleId="985" w:customStyle="1">
    <w:name w:val="MSG_EN_FONT_STYLE_NAME_TEMPLATE_ROLE_NUMBER MSG_EN_FONT_STYLE_NAME_BY_ROLE_TEXT 2"/>
    <w:basedOn w:val="708"/>
    <w:uiPriority w:val="99"/>
    <w:unhideWhenUsed/>
    <w:qFormat/>
    <w:pPr>
      <w:ind w:firstLine="480"/>
      <w:jc w:val="both"/>
      <w:spacing w:before="300" w:line="439" w:lineRule="exact"/>
      <w:shd w:val="clear" w:color="auto" w:fill="ffffff"/>
    </w:pPr>
    <w:rPr>
      <w:rFonts w:hint="eastAsia" w:ascii="PMingLiU" w:hAnsi="PMingLiU" w:eastAsia="PMingLiU"/>
      <w:spacing w:val="10"/>
      <w:sz w:val="22"/>
    </w:rPr>
  </w:style>
  <w:style w:type="paragraph" w:styleId="986" w:customStyle="1">
    <w:name w:val="正文 1.1.1"/>
    <w:basedOn w:val="708"/>
    <w:next w:val="708"/>
    <w:uiPriority w:val="0"/>
    <w:qFormat/>
    <w:pPr>
      <w:numPr>
        <w:ilvl w:val="2"/>
        <w:numId w:val="1"/>
      </w:numPr>
      <w:spacing w:line="360" w:lineRule="auto"/>
      <w:outlineLvl w:val="2"/>
    </w:pPr>
    <w:rPr>
      <w:rFonts w:ascii="宋体" w:hAnsi="宋体"/>
      <w:color w:val="000000"/>
      <w:sz w:val="28"/>
      <w:szCs w:val="21"/>
    </w:rPr>
  </w:style>
  <w:style w:type="paragraph" w:styleId="987" w:customStyle="1">
    <w:name w:val="纯文本2"/>
    <w:basedOn w:val="708"/>
    <w:uiPriority w:val="0"/>
    <w:qFormat/>
    <w:pPr>
      <w:jc w:val="both"/>
      <w:widowControl w:val="off"/>
    </w:pPr>
    <w:rPr>
      <w:rFonts w:ascii="宋体" w:hAnsi="Courier New" w:eastAsia="楷体_GB2312"/>
      <w:sz w:val="26"/>
      <w:szCs w:val="20"/>
    </w:rPr>
  </w:style>
  <w:style w:type="paragraph" w:styleId="988" w:customStyle="1">
    <w:name w:val="第四级"/>
    <w:basedOn w:val="708"/>
    <w:next w:val="708"/>
    <w:uiPriority w:val="0"/>
    <w:qFormat/>
    <w:pPr>
      <w:numPr>
        <w:ilvl w:val="3"/>
        <w:numId w:val="1"/>
      </w:numPr>
      <w:spacing w:line="360" w:lineRule="auto"/>
    </w:pPr>
    <w:rPr>
      <w:rFonts w:ascii="宋体" w:hAnsi="宋体" w:eastAsia="仿宋"/>
      <w:sz w:val="28"/>
      <w:szCs w:val="21"/>
    </w:rPr>
  </w:style>
  <w:style w:type="paragraph" w:styleId="989" w:customStyle="1">
    <w:name w:val="Char Char Char Char"/>
    <w:basedOn w:val="921"/>
    <w:uiPriority w:val="0"/>
    <w:qFormat/>
    <w:pPr>
      <w:spacing w:line="360" w:lineRule="auto"/>
    </w:pPr>
    <w:rPr>
      <w:rFonts w:ascii="Tahoma" w:hAnsi="Tahoma"/>
      <w:sz w:val="24"/>
    </w:rPr>
  </w:style>
  <w:style w:type="paragraph" w:styleId="990" w:customStyle="1">
    <w:name w:val="正文（缩进）"/>
    <w:basedOn w:val="708"/>
    <w:uiPriority w:val="0"/>
    <w:qFormat/>
    <w:pPr>
      <w:ind w:firstLine="480"/>
      <w:spacing w:before="156" w:after="156"/>
    </w:pPr>
  </w:style>
  <w:style w:type="paragraph" w:styleId="99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列出段落"/>
    <w:basedOn w:val="708"/>
    <w:next w:val="708"/>
    <w:uiPriority w:val="34"/>
    <w:qFormat/>
    <w:pPr>
      <w:ind w:firstLine="420"/>
    </w:pPr>
    <w:rPr>
      <w:rFonts w:ascii="Calibri" w:hAnsi="Calibri"/>
      <w:szCs w:val="22"/>
    </w:rPr>
  </w:style>
  <w:style w:type="paragraph" w:styleId="993" w:customStyle="1">
    <w:name w:val="标题3"/>
    <w:basedOn w:val="708"/>
    <w:next w:val="708"/>
    <w:uiPriority w:val="0"/>
    <w:qFormat/>
    <w:rPr>
      <w:rFonts w:eastAsia="方正黑体_GBK"/>
    </w:rPr>
  </w:style>
  <w:style w:type="paragraph" w:styleId="99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5" w:customStyle="1">
    <w:name w:val="Char Char Char Char1 Char Char Char"/>
    <w:basedOn w:val="921"/>
    <w:uiPriority w:val="0"/>
    <w:qFormat/>
    <w:pPr>
      <w:spacing w:line="360" w:lineRule="auto"/>
    </w:pPr>
    <w:rPr>
      <w:rFonts w:ascii="Tahoma" w:hAnsi="Tahoma"/>
      <w:sz w:val="24"/>
    </w:rPr>
  </w:style>
  <w:style w:type="paragraph" w:styleId="996" w:customStyle="1">
    <w:name w:val="WPSOffice手动目录 1"/>
    <w:uiPriority w:val="0"/>
    <w:qFormat/>
    <w:rPr>
      <w:rFonts w:hint="default" w:ascii="Times New Roman" w:hAnsi="Times New Roman" w:eastAsia="宋体" w:cs="Times New Roman"/>
      <w:lang w:val="en-US" w:eastAsia="zh-CN" w:bidi="ar-SA"/>
    </w:rPr>
  </w:style>
  <w:style w:type="paragraph" w:styleId="997" w:customStyle="1">
    <w:name w:val="正文 第一章"/>
    <w:basedOn w:val="708"/>
    <w:next w:val="998"/>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98" w:customStyle="1">
    <w:name w:val="正文 1.1"/>
    <w:basedOn w:val="708"/>
    <w:next w:val="986"/>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99" w:customStyle="1">
    <w:name w:val="默认段落字体 Para Char Char Char Char Char Char Char Char Char1 Char Char Char Char Char Char Char"/>
    <w:basedOn w:val="921"/>
    <w:uiPriority w:val="0"/>
    <w:qFormat/>
    <w:rPr>
      <w:rFonts w:ascii="Tahoma" w:hAnsi="Tahoma"/>
      <w:sz w:val="24"/>
    </w:rPr>
  </w:style>
  <w:style w:type="paragraph" w:styleId="1000"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001" w:customStyle="1">
    <w:name w:val="标题1"/>
    <w:basedOn w:val="708"/>
    <w:next w:val="708"/>
    <w:uiPriority w:val="0"/>
    <w:qFormat/>
    <w:pPr>
      <w:jc w:val="center"/>
      <w:spacing w:line="700" w:lineRule="atLeast"/>
      <w:tabs>
        <w:tab w:val="left" w:pos="9193" w:leader="none"/>
        <w:tab w:val="left" w:pos="9827" w:leader="none"/>
      </w:tabs>
    </w:pPr>
    <w:rPr>
      <w:rFonts w:eastAsia="方正小标宋_GBK"/>
      <w:sz w:val="44"/>
    </w:rPr>
  </w:style>
  <w:style w:type="paragraph" w:styleId="1002" w:customStyle="1">
    <w:name w:val="段"/>
    <w:next w:val="708"/>
    <w:uiPriority w:val="0"/>
    <w:qFormat/>
    <w:pPr>
      <w:ind w:firstLine="200"/>
      <w:jc w:val="both"/>
    </w:pPr>
    <w:rPr>
      <w:rFonts w:hint="default" w:ascii="宋体" w:hAnsi="Calibri" w:eastAsia="宋体" w:cs="Times New Roman"/>
      <w:sz w:val="21"/>
      <w:lang w:val="en-US" w:eastAsia="zh-CN" w:bidi="ar-SA"/>
    </w:rPr>
  </w:style>
  <w:style w:type="paragraph" w:styleId="1003" w:customStyle="1">
    <w:name w:val="HTML 预先格式化"/>
    <w:basedOn w:val="7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04" w:customStyle="1">
    <w:name w:val="Table Paragraph"/>
    <w:basedOn w:val="708"/>
    <w:uiPriority w:val="1"/>
    <w:qFormat/>
    <w:pPr>
      <w:jc w:val="left"/>
    </w:pPr>
    <w:rPr>
      <w:sz w:val="24"/>
    </w:rPr>
  </w:style>
  <w:style w:type="paragraph" w:styleId="100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006" w:customStyle="1">
    <w:name w:val="正文空2格  1."/>
    <w:basedOn w:val="708"/>
    <w:uiPriority w:val="0"/>
    <w:qFormat/>
    <w:pPr>
      <w:ind w:firstLine="480"/>
      <w:spacing w:line="360" w:lineRule="auto"/>
    </w:pPr>
    <w:rPr>
      <w:rFonts w:ascii="宋体" w:eastAsia="仿宋" w:cs="宋体"/>
      <w:sz w:val="28"/>
      <w:szCs w:val="20"/>
    </w:rPr>
  </w:style>
  <w:style w:type="paragraph" w:styleId="1007" w:customStyle="1">
    <w:name w:val="文档正文"/>
    <w:basedOn w:val="708"/>
    <w:uiPriority w:val="0"/>
    <w:unhideWhenUsed/>
    <w:qFormat/>
    <w:pPr>
      <w:ind w:firstLine="482"/>
      <w:spacing w:before="60" w:after="60" w:line="360" w:lineRule="auto"/>
    </w:pPr>
  </w:style>
  <w:style w:type="paragraph" w:styleId="1008" w:customStyle="1">
    <w:name w:val="xl47"/>
    <w:basedOn w:val="70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09" w:customStyle="1">
    <w:name w:val="Coms Alinea"/>
    <w:uiPriority w:val="0"/>
    <w:qFormat/>
    <w:pPr>
      <w:widowControl w:val="off"/>
    </w:pPr>
    <w:rPr>
      <w:rFonts w:hint="default" w:ascii="Arial" w:hAnsi="Arial" w:eastAsia="宋体" w:cs="Arial"/>
      <w:lang w:val="en-US" w:eastAsia="zh-CN" w:bidi="ar-SA"/>
    </w:rPr>
  </w:style>
  <w:style w:type="paragraph" w:styleId="1010" w:customStyle="1">
    <w:name w:val="BioQuote Tekst"/>
    <w:basedOn w:val="708"/>
    <w:uiPriority w:val="0"/>
    <w:qFormat/>
    <w:pPr>
      <w:ind w:right="-1"/>
    </w:pPr>
    <w:rPr>
      <w:rFonts w:ascii="Arial" w:hAnsi="Arial"/>
      <w:sz w:val="22"/>
      <w:szCs w:val="20"/>
      <w:lang w:eastAsia="en-US"/>
    </w:rPr>
  </w:style>
  <w:style w:type="paragraph" w:styleId="1011" w:customStyle="1">
    <w:name w:val="Char"/>
    <w:basedOn w:val="708"/>
    <w:uiPriority w:val="0"/>
    <w:qFormat/>
    <w:pPr>
      <w:tabs>
        <w:tab w:val="left" w:pos="360" w:leader="none"/>
      </w:tabs>
    </w:pPr>
    <w:rPr>
      <w:sz w:val="24"/>
    </w:rPr>
  </w:style>
  <w:style w:type="paragraph" w:styleId="1012" w:customStyle="1">
    <w:name w:val=" Char"/>
    <w:basedOn w:val="708"/>
    <w:uiPriority w:val="0"/>
    <w:qFormat/>
    <w:rPr>
      <w:rFonts w:ascii="Tahoma" w:hAnsi="Tahoma"/>
      <w:sz w:val="24"/>
      <w:szCs w:val="20"/>
    </w:rPr>
  </w:style>
  <w:style w:type="paragraph" w:styleId="1013" w:customStyle="1">
    <w:name w:val="列出段落2"/>
    <w:basedOn w:val="708"/>
    <w:uiPriority w:val="0"/>
    <w:qFormat/>
    <w:pPr>
      <w:ind w:firstLine="420"/>
    </w:pPr>
    <w:rPr>
      <w:rFonts w:ascii="Calibri" w:hAnsi="Calibri" w:eastAsia="宋体" w:cs="Times New Roman"/>
      <w:szCs w:val="22"/>
    </w:rPr>
  </w:style>
  <w:style w:type="character" w:styleId="1014" w:customStyle="1">
    <w:name w:val="font31"/>
    <w:basedOn w:val="718"/>
    <w:uiPriority w:val="0"/>
    <w:qFormat/>
    <w:rPr>
      <w:rFonts w:ascii="宋体" w:hAnsi="宋体" w:eastAsia="宋体" w:cs="宋体"/>
      <w:color w:val="000000"/>
      <w:sz w:val="10"/>
      <w:szCs w:val="10"/>
      <w:u w:val="none"/>
    </w:rPr>
  </w:style>
  <w:style w:type="character" w:styleId="1015" w:customStyle="1">
    <w:name w:val="NormalCharacter"/>
    <w:uiPriority w:val="0"/>
    <w:qFormat/>
  </w:style>
  <w:style w:type="numbering" w:styleId="17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http://www.</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干甜甜</cp:lastModifiedBy>
  <cp:revision>13</cp:revision>
  <dcterms:created xsi:type="dcterms:W3CDTF">2020-11-06T03:38:00Z</dcterms:created>
  <dcterms:modified xsi:type="dcterms:W3CDTF">2025-11-24T01:07:03Z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5BC1F1BFF0F54089802F2017396A4877_13</vt:lpwstr>
  </property>
  <property fmtid="{D5CDD505-2E9C-101B-9397-08002B2CF9AE}" pid="4" name="KSOTemplateDocerSaveRecord">
    <vt:lpwstr>eyJoZGlkIjoiNDgzOGUwNmMyZDAwN2IzN2M3YzZlYjhlN2UwZGY0YmYiLCJ1c2VySWQiOiIyNjI0ODYxMDEifQ==</vt:lpwstr>
  </property>
</Properties>
</file>